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 xml:space="preserve">Title 40: Protection of Environment </w:t>
      </w:r>
      <w:r w:rsidRPr="007E5CFA">
        <w:rPr>
          <w:rFonts w:ascii="Arial" w:eastAsia="Times New Roman" w:hAnsi="Arial" w:cs="Arial"/>
          <w:sz w:val="20"/>
          <w:szCs w:val="20"/>
        </w:rPr>
        <w:br/>
      </w:r>
      <w:hyperlink r:id="rId6" w:history="1">
        <w:r w:rsidRPr="007E5CFA">
          <w:rPr>
            <w:rFonts w:ascii="Arial" w:eastAsia="Times New Roman" w:hAnsi="Arial" w:cs="Arial"/>
            <w:color w:val="0000FF"/>
            <w:sz w:val="20"/>
            <w:szCs w:val="20"/>
          </w:rPr>
          <w:t>PART 60—STANDARDS OF PERFORMANCE FOR NEW STATIONARY SOURCES</w:t>
        </w:r>
      </w:hyperlink>
      <w:r w:rsidRPr="007E5CFA">
        <w:rPr>
          <w:rFonts w:ascii="Arial" w:eastAsia="Times New Roman" w:hAnsi="Arial" w:cs="Arial"/>
          <w:sz w:val="20"/>
          <w:szCs w:val="20"/>
        </w:rPr>
        <w:t xml:space="preserve"> </w:t>
      </w:r>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pict>
          <v:rect id="_x0000_i1025" style="width:0;height:1.5pt" o:hrstd="t" o:hr="t" fillcolor="#a0a0a0" stroked="f"/>
        </w:pict>
      </w:r>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0" w:name="_top"/>
      <w:bookmarkEnd w:id="0"/>
      <w:r w:rsidRPr="007E5CFA">
        <w:rPr>
          <w:rFonts w:ascii="Arial" w:eastAsia="Times New Roman" w:hAnsi="Arial" w:cs="Arial"/>
          <w:b/>
          <w:bCs/>
          <w:sz w:val="20"/>
          <w:szCs w:val="20"/>
        </w:rPr>
        <w:t xml:space="preserve">Subpart </w:t>
      </w:r>
      <w:proofErr w:type="gramStart"/>
      <w:r w:rsidRPr="007E5CFA">
        <w:rPr>
          <w:rFonts w:ascii="Arial" w:eastAsia="Times New Roman" w:hAnsi="Arial" w:cs="Arial"/>
          <w:b/>
          <w:bCs/>
          <w:sz w:val="20"/>
          <w:szCs w:val="20"/>
        </w:rPr>
        <w:t>A—</w:t>
      </w:r>
      <w:proofErr w:type="gramEnd"/>
      <w:r w:rsidRPr="007E5CFA">
        <w:rPr>
          <w:rFonts w:ascii="Arial" w:eastAsia="Times New Roman" w:hAnsi="Arial" w:cs="Arial"/>
          <w:b/>
          <w:bCs/>
          <w:sz w:val="20"/>
          <w:szCs w:val="20"/>
        </w:rPr>
        <w:t>General Provisions</w:t>
      </w:r>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pict>
          <v:rect id="_x0000_i1026" style="width:0;height:1.5pt" o:hrstd="t" o:hr="t" fillcolor="#a0a0a0" stroked="f"/>
        </w:pict>
      </w:r>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b/>
          <w:bCs/>
          <w:sz w:val="20"/>
          <w:szCs w:val="20"/>
        </w:rPr>
        <w:t>Contents</w:t>
      </w:r>
      <w:r w:rsidRPr="007E5CFA">
        <w:rPr>
          <w:rFonts w:ascii="Arial" w:eastAsia="Times New Roman" w:hAnsi="Arial" w:cs="Arial"/>
          <w:sz w:val="20"/>
          <w:szCs w:val="20"/>
        </w:rPr>
        <w:br/>
      </w:r>
      <w:hyperlink r:id="rId7" w:anchor="40:7.0.1.1.1.1.151.1" w:history="1">
        <w:r w:rsidRPr="007E5CFA">
          <w:rPr>
            <w:rFonts w:ascii="Arial" w:eastAsia="Times New Roman" w:hAnsi="Arial" w:cs="Arial"/>
            <w:color w:val="0000FF"/>
            <w:sz w:val="20"/>
            <w:szCs w:val="20"/>
          </w:rPr>
          <w:t>§60.1   Applicability.</w:t>
        </w:r>
      </w:hyperlink>
      <w:r w:rsidRPr="007E5CFA">
        <w:rPr>
          <w:rFonts w:ascii="Arial" w:eastAsia="Times New Roman" w:hAnsi="Arial" w:cs="Arial"/>
          <w:sz w:val="20"/>
          <w:szCs w:val="20"/>
        </w:rPr>
        <w:br/>
      </w:r>
      <w:hyperlink r:id="rId8" w:anchor="40:7.0.1.1.1.1.151.2" w:history="1">
        <w:r w:rsidRPr="007E5CFA">
          <w:rPr>
            <w:rFonts w:ascii="Arial" w:eastAsia="Times New Roman" w:hAnsi="Arial" w:cs="Arial"/>
            <w:color w:val="0000FF"/>
            <w:sz w:val="20"/>
            <w:szCs w:val="20"/>
          </w:rPr>
          <w:t>§60.2   Definitions.</w:t>
        </w:r>
      </w:hyperlink>
      <w:r w:rsidRPr="007E5CFA">
        <w:rPr>
          <w:rFonts w:ascii="Arial" w:eastAsia="Times New Roman" w:hAnsi="Arial" w:cs="Arial"/>
          <w:sz w:val="20"/>
          <w:szCs w:val="20"/>
        </w:rPr>
        <w:br/>
      </w:r>
      <w:hyperlink r:id="rId9" w:anchor="40:7.0.1.1.1.1.151.3" w:history="1">
        <w:r w:rsidRPr="007E5CFA">
          <w:rPr>
            <w:rFonts w:ascii="Arial" w:eastAsia="Times New Roman" w:hAnsi="Arial" w:cs="Arial"/>
            <w:color w:val="0000FF"/>
            <w:sz w:val="20"/>
            <w:szCs w:val="20"/>
          </w:rPr>
          <w:t>§60.3   Units and abbreviations.</w:t>
        </w:r>
      </w:hyperlink>
      <w:r w:rsidRPr="007E5CFA">
        <w:rPr>
          <w:rFonts w:ascii="Arial" w:eastAsia="Times New Roman" w:hAnsi="Arial" w:cs="Arial"/>
          <w:sz w:val="20"/>
          <w:szCs w:val="20"/>
        </w:rPr>
        <w:br/>
      </w:r>
      <w:hyperlink r:id="rId10" w:anchor="40:7.0.1.1.1.1.151.4" w:history="1">
        <w:r w:rsidRPr="007E5CFA">
          <w:rPr>
            <w:rFonts w:ascii="Arial" w:eastAsia="Times New Roman" w:hAnsi="Arial" w:cs="Arial"/>
            <w:color w:val="0000FF"/>
            <w:sz w:val="20"/>
            <w:szCs w:val="20"/>
          </w:rPr>
          <w:t>§60.4   Address.</w:t>
        </w:r>
      </w:hyperlink>
      <w:r w:rsidRPr="007E5CFA">
        <w:rPr>
          <w:rFonts w:ascii="Arial" w:eastAsia="Times New Roman" w:hAnsi="Arial" w:cs="Arial"/>
          <w:sz w:val="20"/>
          <w:szCs w:val="20"/>
        </w:rPr>
        <w:br/>
      </w:r>
      <w:hyperlink r:id="rId11" w:anchor="40:7.0.1.1.1.1.151.5" w:history="1">
        <w:r w:rsidRPr="007E5CFA">
          <w:rPr>
            <w:rFonts w:ascii="Arial" w:eastAsia="Times New Roman" w:hAnsi="Arial" w:cs="Arial"/>
            <w:color w:val="0000FF"/>
            <w:sz w:val="20"/>
            <w:szCs w:val="20"/>
          </w:rPr>
          <w:t>§60.5   Determination of construction or modification.</w:t>
        </w:r>
      </w:hyperlink>
      <w:r w:rsidRPr="007E5CFA">
        <w:rPr>
          <w:rFonts w:ascii="Arial" w:eastAsia="Times New Roman" w:hAnsi="Arial" w:cs="Arial"/>
          <w:sz w:val="20"/>
          <w:szCs w:val="20"/>
        </w:rPr>
        <w:br/>
      </w:r>
      <w:hyperlink r:id="rId12" w:anchor="40:7.0.1.1.1.1.151.6" w:history="1">
        <w:r w:rsidRPr="007E5CFA">
          <w:rPr>
            <w:rFonts w:ascii="Arial" w:eastAsia="Times New Roman" w:hAnsi="Arial" w:cs="Arial"/>
            <w:color w:val="0000FF"/>
            <w:sz w:val="20"/>
            <w:szCs w:val="20"/>
          </w:rPr>
          <w:t>§60.6   Review of plans.</w:t>
        </w:r>
      </w:hyperlink>
      <w:r w:rsidRPr="007E5CFA">
        <w:rPr>
          <w:rFonts w:ascii="Arial" w:eastAsia="Times New Roman" w:hAnsi="Arial" w:cs="Arial"/>
          <w:sz w:val="20"/>
          <w:szCs w:val="20"/>
        </w:rPr>
        <w:br/>
      </w:r>
      <w:hyperlink r:id="rId13" w:anchor="40:7.0.1.1.1.1.151.7" w:history="1">
        <w:r w:rsidRPr="007E5CFA">
          <w:rPr>
            <w:rFonts w:ascii="Arial" w:eastAsia="Times New Roman" w:hAnsi="Arial" w:cs="Arial"/>
            <w:color w:val="0000FF"/>
            <w:sz w:val="20"/>
            <w:szCs w:val="20"/>
          </w:rPr>
          <w:t>§60.7   Notification and record keeping.</w:t>
        </w:r>
      </w:hyperlink>
      <w:r w:rsidRPr="007E5CFA">
        <w:rPr>
          <w:rFonts w:ascii="Arial" w:eastAsia="Times New Roman" w:hAnsi="Arial" w:cs="Arial"/>
          <w:sz w:val="20"/>
          <w:szCs w:val="20"/>
        </w:rPr>
        <w:br/>
      </w:r>
      <w:hyperlink r:id="rId14" w:anchor="40:7.0.1.1.1.1.151.8" w:history="1">
        <w:r w:rsidRPr="007E5CFA">
          <w:rPr>
            <w:rFonts w:ascii="Arial" w:eastAsia="Times New Roman" w:hAnsi="Arial" w:cs="Arial"/>
            <w:color w:val="0000FF"/>
            <w:sz w:val="20"/>
            <w:szCs w:val="20"/>
          </w:rPr>
          <w:t>§60.8   Performance tests.</w:t>
        </w:r>
      </w:hyperlink>
      <w:r w:rsidRPr="007E5CFA">
        <w:rPr>
          <w:rFonts w:ascii="Arial" w:eastAsia="Times New Roman" w:hAnsi="Arial" w:cs="Arial"/>
          <w:sz w:val="20"/>
          <w:szCs w:val="20"/>
        </w:rPr>
        <w:br/>
      </w:r>
      <w:hyperlink r:id="rId15" w:anchor="40:7.0.1.1.1.1.151.9" w:history="1">
        <w:r w:rsidRPr="007E5CFA">
          <w:rPr>
            <w:rFonts w:ascii="Arial" w:eastAsia="Times New Roman" w:hAnsi="Arial" w:cs="Arial"/>
            <w:color w:val="0000FF"/>
            <w:sz w:val="20"/>
            <w:szCs w:val="20"/>
          </w:rPr>
          <w:t>§60.9   Availability of information.</w:t>
        </w:r>
      </w:hyperlink>
      <w:r w:rsidRPr="007E5CFA">
        <w:rPr>
          <w:rFonts w:ascii="Arial" w:eastAsia="Times New Roman" w:hAnsi="Arial" w:cs="Arial"/>
          <w:sz w:val="20"/>
          <w:szCs w:val="20"/>
        </w:rPr>
        <w:br/>
      </w:r>
      <w:hyperlink r:id="rId16" w:anchor="40:7.0.1.1.1.1.151.10" w:history="1">
        <w:r w:rsidRPr="007E5CFA">
          <w:rPr>
            <w:rFonts w:ascii="Arial" w:eastAsia="Times New Roman" w:hAnsi="Arial" w:cs="Arial"/>
            <w:color w:val="0000FF"/>
            <w:sz w:val="20"/>
            <w:szCs w:val="20"/>
          </w:rPr>
          <w:t>§60.10   State authority.</w:t>
        </w:r>
      </w:hyperlink>
      <w:r w:rsidRPr="007E5CFA">
        <w:rPr>
          <w:rFonts w:ascii="Arial" w:eastAsia="Times New Roman" w:hAnsi="Arial" w:cs="Arial"/>
          <w:sz w:val="20"/>
          <w:szCs w:val="20"/>
        </w:rPr>
        <w:br/>
      </w:r>
      <w:hyperlink r:id="rId17" w:anchor="40:7.0.1.1.1.1.151.11" w:history="1">
        <w:r w:rsidRPr="007E5CFA">
          <w:rPr>
            <w:rFonts w:ascii="Arial" w:eastAsia="Times New Roman" w:hAnsi="Arial" w:cs="Arial"/>
            <w:color w:val="0000FF"/>
            <w:sz w:val="20"/>
            <w:szCs w:val="20"/>
          </w:rPr>
          <w:t>§60.11   Compliance with standards and maintenance requirements.</w:t>
        </w:r>
      </w:hyperlink>
      <w:r w:rsidRPr="007E5CFA">
        <w:rPr>
          <w:rFonts w:ascii="Arial" w:eastAsia="Times New Roman" w:hAnsi="Arial" w:cs="Arial"/>
          <w:sz w:val="20"/>
          <w:szCs w:val="20"/>
        </w:rPr>
        <w:br/>
      </w:r>
      <w:hyperlink r:id="rId18" w:anchor="40:7.0.1.1.1.1.151.12" w:history="1">
        <w:r w:rsidRPr="007E5CFA">
          <w:rPr>
            <w:rFonts w:ascii="Arial" w:eastAsia="Times New Roman" w:hAnsi="Arial" w:cs="Arial"/>
            <w:color w:val="0000FF"/>
            <w:sz w:val="20"/>
            <w:szCs w:val="20"/>
          </w:rPr>
          <w:t>§60.12   Circumvention.</w:t>
        </w:r>
      </w:hyperlink>
      <w:r w:rsidRPr="007E5CFA">
        <w:rPr>
          <w:rFonts w:ascii="Arial" w:eastAsia="Times New Roman" w:hAnsi="Arial" w:cs="Arial"/>
          <w:sz w:val="20"/>
          <w:szCs w:val="20"/>
        </w:rPr>
        <w:br/>
      </w:r>
      <w:hyperlink r:id="rId19" w:anchor="40:7.0.1.1.1.1.151.13" w:history="1">
        <w:r w:rsidRPr="007E5CFA">
          <w:rPr>
            <w:rFonts w:ascii="Arial" w:eastAsia="Times New Roman" w:hAnsi="Arial" w:cs="Arial"/>
            <w:color w:val="0000FF"/>
            <w:sz w:val="20"/>
            <w:szCs w:val="20"/>
          </w:rPr>
          <w:t>§60.13   Monitoring requirements.</w:t>
        </w:r>
      </w:hyperlink>
      <w:r w:rsidRPr="007E5CFA">
        <w:rPr>
          <w:rFonts w:ascii="Arial" w:eastAsia="Times New Roman" w:hAnsi="Arial" w:cs="Arial"/>
          <w:sz w:val="20"/>
          <w:szCs w:val="20"/>
        </w:rPr>
        <w:br/>
      </w:r>
      <w:hyperlink r:id="rId20" w:anchor="40:7.0.1.1.1.1.151.14" w:history="1">
        <w:r w:rsidRPr="007E5CFA">
          <w:rPr>
            <w:rFonts w:ascii="Arial" w:eastAsia="Times New Roman" w:hAnsi="Arial" w:cs="Arial"/>
            <w:color w:val="0000FF"/>
            <w:sz w:val="20"/>
            <w:szCs w:val="20"/>
          </w:rPr>
          <w:t>§60.14   Modification.</w:t>
        </w:r>
      </w:hyperlink>
      <w:r w:rsidRPr="007E5CFA">
        <w:rPr>
          <w:rFonts w:ascii="Arial" w:eastAsia="Times New Roman" w:hAnsi="Arial" w:cs="Arial"/>
          <w:sz w:val="20"/>
          <w:szCs w:val="20"/>
        </w:rPr>
        <w:br/>
      </w:r>
      <w:hyperlink r:id="rId21" w:anchor="40:7.0.1.1.1.1.151.15" w:history="1">
        <w:r w:rsidRPr="007E5CFA">
          <w:rPr>
            <w:rFonts w:ascii="Arial" w:eastAsia="Times New Roman" w:hAnsi="Arial" w:cs="Arial"/>
            <w:color w:val="0000FF"/>
            <w:sz w:val="20"/>
            <w:szCs w:val="20"/>
          </w:rPr>
          <w:t>§60.15   Reconstruction.</w:t>
        </w:r>
      </w:hyperlink>
      <w:r w:rsidRPr="007E5CFA">
        <w:rPr>
          <w:rFonts w:ascii="Arial" w:eastAsia="Times New Roman" w:hAnsi="Arial" w:cs="Arial"/>
          <w:sz w:val="20"/>
          <w:szCs w:val="20"/>
        </w:rPr>
        <w:br/>
      </w:r>
      <w:hyperlink r:id="rId22" w:anchor="40:7.0.1.1.1.1.151.16" w:history="1">
        <w:r w:rsidRPr="007E5CFA">
          <w:rPr>
            <w:rFonts w:ascii="Arial" w:eastAsia="Times New Roman" w:hAnsi="Arial" w:cs="Arial"/>
            <w:color w:val="0000FF"/>
            <w:sz w:val="20"/>
            <w:szCs w:val="20"/>
          </w:rPr>
          <w:t>§60.16   Priority list.</w:t>
        </w:r>
      </w:hyperlink>
      <w:r w:rsidRPr="007E5CFA">
        <w:rPr>
          <w:rFonts w:ascii="Arial" w:eastAsia="Times New Roman" w:hAnsi="Arial" w:cs="Arial"/>
          <w:sz w:val="20"/>
          <w:szCs w:val="20"/>
        </w:rPr>
        <w:br/>
      </w:r>
      <w:hyperlink r:id="rId23" w:anchor="40:7.0.1.1.1.1.151.17" w:history="1">
        <w:r w:rsidRPr="007E5CFA">
          <w:rPr>
            <w:rFonts w:ascii="Arial" w:eastAsia="Times New Roman" w:hAnsi="Arial" w:cs="Arial"/>
            <w:color w:val="0000FF"/>
            <w:sz w:val="20"/>
            <w:szCs w:val="20"/>
          </w:rPr>
          <w:t>§60.17   Incorporations by reference.</w:t>
        </w:r>
      </w:hyperlink>
      <w:r w:rsidRPr="007E5CFA">
        <w:rPr>
          <w:rFonts w:ascii="Arial" w:eastAsia="Times New Roman" w:hAnsi="Arial" w:cs="Arial"/>
          <w:sz w:val="20"/>
          <w:szCs w:val="20"/>
        </w:rPr>
        <w:br/>
      </w:r>
      <w:hyperlink r:id="rId24" w:anchor="40:7.0.1.1.1.1.151.18" w:history="1">
        <w:r w:rsidRPr="007E5CFA">
          <w:rPr>
            <w:rFonts w:ascii="Arial" w:eastAsia="Times New Roman" w:hAnsi="Arial" w:cs="Arial"/>
            <w:color w:val="0000FF"/>
            <w:sz w:val="20"/>
            <w:szCs w:val="20"/>
          </w:rPr>
          <w:t>§60.18   General control device and work practice requirements.</w:t>
        </w:r>
      </w:hyperlink>
      <w:r w:rsidRPr="007E5CFA">
        <w:rPr>
          <w:rFonts w:ascii="Arial" w:eastAsia="Times New Roman" w:hAnsi="Arial" w:cs="Arial"/>
          <w:sz w:val="20"/>
          <w:szCs w:val="20"/>
        </w:rPr>
        <w:br/>
      </w:r>
      <w:hyperlink r:id="rId25" w:anchor="40:7.0.1.1.1.1.151.19" w:history="1">
        <w:r w:rsidRPr="007E5CFA">
          <w:rPr>
            <w:rFonts w:ascii="Arial" w:eastAsia="Times New Roman" w:hAnsi="Arial" w:cs="Arial"/>
            <w:color w:val="0000FF"/>
            <w:sz w:val="20"/>
            <w:szCs w:val="20"/>
          </w:rPr>
          <w:t>§60.19   General notification and reporting requirements.</w:t>
        </w:r>
      </w:hyperlink>
      <w:r w:rsidRPr="007E5CFA">
        <w:rPr>
          <w:rFonts w:ascii="Arial" w:eastAsia="Times New Roman" w:hAnsi="Arial" w:cs="Arial"/>
          <w:sz w:val="20"/>
          <w:szCs w:val="20"/>
        </w:rPr>
        <w:br/>
      </w:r>
      <w:hyperlink r:id="rId26" w:anchor="40:7.0.1.1.1.1.151.20.1" w:history="1">
        <w:r w:rsidRPr="007E5CFA">
          <w:rPr>
            <w:rFonts w:ascii="Arial" w:eastAsia="Times New Roman" w:hAnsi="Arial" w:cs="Arial"/>
            <w:color w:val="0000FF"/>
            <w:sz w:val="20"/>
            <w:szCs w:val="20"/>
          </w:rPr>
          <w:t xml:space="preserve">Table 1 to Subpart </w:t>
        </w:r>
        <w:proofErr w:type="gramStart"/>
        <w:r w:rsidRPr="007E5CFA">
          <w:rPr>
            <w:rFonts w:ascii="Arial" w:eastAsia="Times New Roman" w:hAnsi="Arial" w:cs="Arial"/>
            <w:color w:val="0000FF"/>
            <w:sz w:val="20"/>
            <w:szCs w:val="20"/>
          </w:rPr>
          <w:t>A</w:t>
        </w:r>
        <w:proofErr w:type="gramEnd"/>
        <w:r w:rsidRPr="007E5CFA">
          <w:rPr>
            <w:rFonts w:ascii="Arial" w:eastAsia="Times New Roman" w:hAnsi="Arial" w:cs="Arial"/>
            <w:color w:val="0000FF"/>
            <w:sz w:val="20"/>
            <w:szCs w:val="20"/>
          </w:rPr>
          <w:t xml:space="preserve"> of Part 60-Detection Sensitivity Levels (grams per hour) </w:t>
        </w:r>
      </w:hyperlink>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pict>
          <v:rect id="_x0000_i1027" style="width:0;height:1.5pt" o:hrstd="t" o:hr="t" fillcolor="#a0a0a0" stroked="f"/>
        </w:pict>
      </w:r>
    </w:p>
    <w:p w:rsidR="007E5CFA" w:rsidRPr="007E5CFA" w:rsidRDefault="007E5CFA" w:rsidP="007E5CFA">
      <w:pPr>
        <w:spacing w:before="200" w:after="100" w:afterAutospacing="1" w:line="240" w:lineRule="auto"/>
        <w:rPr>
          <w:rFonts w:ascii="Arial" w:eastAsia="Times New Roman" w:hAnsi="Arial" w:cs="Arial"/>
          <w:sz w:val="20"/>
          <w:szCs w:val="20"/>
        </w:rPr>
      </w:pPr>
      <w:hyperlink r:id="rId27"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24" name="Picture 24"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1" w:name="40:7.0.1.1.1.1.151.1"/>
      <w:bookmarkEnd w:id="1"/>
      <w:r w:rsidRPr="007E5CFA">
        <w:rPr>
          <w:rFonts w:ascii="Arial" w:eastAsia="Times New Roman" w:hAnsi="Arial" w:cs="Arial"/>
          <w:b/>
          <w:bCs/>
          <w:sz w:val="20"/>
          <w:szCs w:val="20"/>
        </w:rPr>
        <w:t>§60.1   Applicability.</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 xml:space="preserve">(d) </w:t>
      </w:r>
      <w:r w:rsidRPr="007E5CFA">
        <w:rPr>
          <w:rFonts w:ascii="Arial" w:eastAsia="Times New Roman" w:hAnsi="Arial" w:cs="Arial"/>
          <w:i/>
          <w:iCs/>
          <w:sz w:val="20"/>
          <w:szCs w:val="20"/>
        </w:rPr>
        <w:t>Site-specific standard for Merck &amp; Co., Inc.'s Stonewall Plant in Elkton, Virginia.</w:t>
      </w:r>
      <w:r w:rsidRPr="007E5CFA">
        <w:rPr>
          <w:rFonts w:ascii="Arial" w:eastAsia="Times New Roman" w:hAnsi="Arial" w:cs="Arial"/>
          <w:sz w:val="20"/>
          <w:szCs w:val="20"/>
        </w:rPr>
        <w:t xml:space="preserve"> (1) This paragraph applies only to the pharmaceutical manufacturing facility, commonly referred to as the Stonewall Plant, located at Route 340 South, in Elkton, Virginia (“site”).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Notwithstanding the provisions of paragraph (d</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[40 FR 53346, Nov. 17, 1975, as amended at 55 FR 51382, Dec. 13, 1990; 59 FR 12427, Mar. 16, 1994; 62 FR 52641, Oct. 8, 1997]</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30"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23" name="Picture 23"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2" w:name="40:7.0.1.1.1.1.151.2"/>
      <w:bookmarkEnd w:id="2"/>
      <w:r w:rsidRPr="007E5CFA">
        <w:rPr>
          <w:rFonts w:ascii="Arial" w:eastAsia="Times New Roman" w:hAnsi="Arial" w:cs="Arial"/>
          <w:b/>
          <w:bCs/>
          <w:sz w:val="20"/>
          <w:szCs w:val="20"/>
        </w:rPr>
        <w:t>§60.2   Definitions.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The terms used in this part are defined in the Act or in this section as follows: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Act</w:t>
      </w:r>
      <w:r w:rsidRPr="007E5CFA">
        <w:rPr>
          <w:rFonts w:ascii="Arial" w:eastAsia="Times New Roman" w:hAnsi="Arial" w:cs="Arial"/>
          <w:sz w:val="20"/>
          <w:szCs w:val="20"/>
        </w:rPr>
        <w:t xml:space="preserve"> means the Clean Air Act (42 U.S.C. 7401 </w:t>
      </w:r>
      <w:r w:rsidRPr="007E5CFA">
        <w:rPr>
          <w:rFonts w:ascii="Arial" w:eastAsia="Times New Roman" w:hAnsi="Arial" w:cs="Arial"/>
          <w:i/>
          <w:iCs/>
          <w:sz w:val="20"/>
          <w:szCs w:val="20"/>
        </w:rPr>
        <w:t>et seq.</w:t>
      </w:r>
      <w:r w:rsidRPr="007E5CFA">
        <w:rPr>
          <w:rFonts w:ascii="Arial" w:eastAsia="Times New Roman" w:hAnsi="Arial" w:cs="Arial"/>
          <w:sz w:val="20"/>
          <w:szCs w:val="20"/>
        </w:rPr>
        <w:t xml:space="preserv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Administrator</w:t>
      </w:r>
      <w:r w:rsidRPr="007E5CFA">
        <w:rPr>
          <w:rFonts w:ascii="Arial" w:eastAsia="Times New Roman" w:hAnsi="Arial" w:cs="Arial"/>
          <w:sz w:val="20"/>
          <w:szCs w:val="20"/>
        </w:rPr>
        <w:t xml:space="preserve"> means the Administrator of the Environmental Protection Agency or his authorized representative.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Affected facility</w:t>
      </w:r>
      <w:r w:rsidRPr="007E5CFA">
        <w:rPr>
          <w:rFonts w:ascii="Arial" w:eastAsia="Times New Roman" w:hAnsi="Arial" w:cs="Arial"/>
          <w:sz w:val="20"/>
          <w:szCs w:val="20"/>
        </w:rPr>
        <w:t xml:space="preserve"> means, with reference to a stationary source, any apparatus to which a standard is applicable.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Alternative method</w:t>
      </w:r>
      <w:r w:rsidRPr="007E5CFA">
        <w:rPr>
          <w:rFonts w:ascii="Arial" w:eastAsia="Times New Roman" w:hAnsi="Arial" w:cs="Arial"/>
          <w:sz w:val="20"/>
          <w:szCs w:val="20"/>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Approved permit program</w:t>
      </w:r>
      <w:r w:rsidRPr="007E5CFA">
        <w:rPr>
          <w:rFonts w:ascii="Arial" w:eastAsia="Times New Roman" w:hAnsi="Arial" w:cs="Arial"/>
          <w:sz w:val="20"/>
          <w:szCs w:val="20"/>
        </w:rPr>
        <w:t xml:space="preserve"> means a State permit program approved by the Administrator as meeting the requirements of part 70 of this chapter or a Federal permit program established in this chapter pursuant to Title V of the Act (42 U.S.C. 7661).</w:t>
      </w:r>
    </w:p>
    <w:p w:rsid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Capital expenditure</w:t>
      </w:r>
      <w:r w:rsidRPr="007E5CFA">
        <w:rPr>
          <w:rFonts w:ascii="Arial" w:eastAsia="Times New Roman" w:hAnsi="Arial" w:cs="Arial"/>
          <w:sz w:val="20"/>
          <w:szCs w:val="20"/>
        </w:rPr>
        <w:t xml:space="preserve"> 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Clean coal technology demonstration project</w:t>
      </w:r>
      <w:r w:rsidRPr="007E5CFA">
        <w:rPr>
          <w:rFonts w:ascii="Arial" w:eastAsia="Times New Roman" w:hAnsi="Arial" w:cs="Arial"/>
          <w:sz w:val="20"/>
          <w:szCs w:val="20"/>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Commenced</w:t>
      </w:r>
      <w:r w:rsidRPr="007E5CFA">
        <w:rPr>
          <w:rFonts w:ascii="Arial" w:eastAsia="Times New Roman" w:hAnsi="Arial" w:cs="Arial"/>
          <w:sz w:val="20"/>
          <w:szCs w:val="20"/>
        </w:rPr>
        <w:t xml:space="preserve"> means, with respect to the definition of </w:t>
      </w:r>
      <w:r w:rsidRPr="007E5CFA">
        <w:rPr>
          <w:rFonts w:ascii="Arial" w:eastAsia="Times New Roman" w:hAnsi="Arial" w:cs="Arial"/>
          <w:i/>
          <w:iCs/>
          <w:sz w:val="20"/>
          <w:szCs w:val="20"/>
        </w:rPr>
        <w:t>new source</w:t>
      </w:r>
      <w:r w:rsidRPr="007E5CFA">
        <w:rPr>
          <w:rFonts w:ascii="Arial" w:eastAsia="Times New Roman" w:hAnsi="Arial" w:cs="Arial"/>
          <w:sz w:val="20"/>
          <w:szCs w:val="20"/>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Construction</w:t>
      </w:r>
      <w:r w:rsidRPr="007E5CFA">
        <w:rPr>
          <w:rFonts w:ascii="Arial" w:eastAsia="Times New Roman" w:hAnsi="Arial" w:cs="Arial"/>
          <w:sz w:val="20"/>
          <w:szCs w:val="20"/>
        </w:rPr>
        <w:t xml:space="preserve"> means fabrication, erection, or installation of an affected facility.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Continuous monitoring system</w:t>
      </w:r>
      <w:r w:rsidRPr="007E5CFA">
        <w:rPr>
          <w:rFonts w:ascii="Arial" w:eastAsia="Times New Roman" w:hAnsi="Arial" w:cs="Arial"/>
          <w:sz w:val="20"/>
          <w:szCs w:val="20"/>
        </w:rPr>
        <w:t xml:space="preserve"> means the total equipment, required under the emission monitoring sections in applicable subparts, used to sample and condition (if applicable), to analyze, and to provide a permanent record of emissions or process parameters.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Electric utility steam generating unit</w:t>
      </w:r>
      <w:r w:rsidRPr="007E5CFA">
        <w:rPr>
          <w:rFonts w:ascii="Arial" w:eastAsia="Times New Roman" w:hAnsi="Arial" w:cs="Arial"/>
          <w:sz w:val="20"/>
          <w:szCs w:val="20"/>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Equivalent method</w:t>
      </w:r>
      <w:r w:rsidRPr="007E5CFA">
        <w:rPr>
          <w:rFonts w:ascii="Arial" w:eastAsia="Times New Roman" w:hAnsi="Arial" w:cs="Arial"/>
          <w:sz w:val="20"/>
          <w:szCs w:val="20"/>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Excess Emissions and Monitoring Systems Performance Report</w:t>
      </w:r>
      <w:r w:rsidRPr="007E5CFA">
        <w:rPr>
          <w:rFonts w:ascii="Arial" w:eastAsia="Times New Roman" w:hAnsi="Arial" w:cs="Arial"/>
          <w:sz w:val="20"/>
          <w:szCs w:val="20"/>
        </w:rPr>
        <w:t xml:space="preserve"> is a report that must be submitted periodically by a source in order to provide data on its compliance with stated emission limits and operating parameters, and on the performance of its monitoring systems.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Existing facility</w:t>
      </w:r>
      <w:r w:rsidRPr="007E5CFA">
        <w:rPr>
          <w:rFonts w:ascii="Arial" w:eastAsia="Times New Roman" w:hAnsi="Arial" w:cs="Arial"/>
          <w:sz w:val="20"/>
          <w:szCs w:val="20"/>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Force majeure</w:t>
      </w:r>
      <w:r w:rsidRPr="007E5CFA">
        <w:rPr>
          <w:rFonts w:ascii="Arial" w:eastAsia="Times New Roman" w:hAnsi="Arial" w:cs="Arial"/>
          <w:sz w:val="20"/>
          <w:szCs w:val="20"/>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Isokinetic sampling</w:t>
      </w:r>
      <w:r w:rsidRPr="007E5CFA">
        <w:rPr>
          <w:rFonts w:ascii="Arial" w:eastAsia="Times New Roman" w:hAnsi="Arial" w:cs="Arial"/>
          <w:sz w:val="20"/>
          <w:szCs w:val="20"/>
        </w:rPr>
        <w:t xml:space="preserve"> means sampling in which the linear velocity of the gas entering the sampling nozzle is equal to that of the undisturbed gas stream at the sample point. </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Issuance</w:t>
      </w:r>
      <w:r w:rsidRPr="007E5CFA">
        <w:rPr>
          <w:rFonts w:ascii="Arial" w:eastAsia="Times New Roman" w:hAnsi="Arial" w:cs="Arial"/>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Malfunction</w:t>
      </w:r>
      <w:r w:rsidRPr="007E5CFA">
        <w:rPr>
          <w:rFonts w:ascii="Arial" w:eastAsia="Times New Roman" w:hAnsi="Arial" w:cs="Arial"/>
          <w:sz w:val="20"/>
          <w:szCs w:val="20"/>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Modification</w:t>
      </w:r>
      <w:r w:rsidRPr="007E5CFA">
        <w:rPr>
          <w:rFonts w:ascii="Arial" w:eastAsia="Times New Roman" w:hAnsi="Arial" w:cs="Arial"/>
          <w:sz w:val="20"/>
          <w:szCs w:val="20"/>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Monitoring device</w:t>
      </w:r>
      <w:r w:rsidRPr="007E5CFA">
        <w:rPr>
          <w:rFonts w:ascii="Arial" w:eastAsia="Times New Roman" w:hAnsi="Arial" w:cs="Arial"/>
          <w:sz w:val="20"/>
          <w:szCs w:val="20"/>
        </w:rPr>
        <w:t xml:space="preserve"> means the total equipment, required under the monitoring of operations sections in applicable subparts, used to measure and record (if applicable) process parameters.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Nitrogen oxides</w:t>
      </w:r>
      <w:r w:rsidRPr="007E5CFA">
        <w:rPr>
          <w:rFonts w:ascii="Arial" w:eastAsia="Times New Roman" w:hAnsi="Arial" w:cs="Arial"/>
          <w:sz w:val="20"/>
          <w:szCs w:val="20"/>
        </w:rPr>
        <w:t xml:space="preserve"> means all oxides of nitrogen except nitrous oxide, as measured by test methods set forth in this part.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One-hour period</w:t>
      </w:r>
      <w:r w:rsidRPr="007E5CFA">
        <w:rPr>
          <w:rFonts w:ascii="Arial" w:eastAsia="Times New Roman" w:hAnsi="Arial" w:cs="Arial"/>
          <w:sz w:val="20"/>
          <w:szCs w:val="20"/>
        </w:rPr>
        <w:t xml:space="preserve"> means any 60-minute period commencing on the hour.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Opacity</w:t>
      </w:r>
      <w:r w:rsidRPr="007E5CFA">
        <w:rPr>
          <w:rFonts w:ascii="Arial" w:eastAsia="Times New Roman" w:hAnsi="Arial" w:cs="Arial"/>
          <w:sz w:val="20"/>
          <w:szCs w:val="20"/>
        </w:rPr>
        <w:t xml:space="preserve"> means the degree to which emissions reduce the transmission of light and obscure the view of an object in the background.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Owner or operator</w:t>
      </w:r>
      <w:r w:rsidRPr="007E5CFA">
        <w:rPr>
          <w:rFonts w:ascii="Arial" w:eastAsia="Times New Roman" w:hAnsi="Arial" w:cs="Arial"/>
          <w:sz w:val="20"/>
          <w:szCs w:val="20"/>
        </w:rPr>
        <w:t xml:space="preserve"> means any person who owns, leases, operates, controls, or supervises an affected facility or a stationary source of which an affected facility is a part.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Part 70 permit</w:t>
      </w:r>
      <w:r w:rsidRPr="007E5CFA">
        <w:rPr>
          <w:rFonts w:ascii="Arial" w:eastAsia="Times New Roman" w:hAnsi="Arial" w:cs="Arial"/>
          <w:sz w:val="20"/>
          <w:szCs w:val="20"/>
        </w:rPr>
        <w:t xml:space="preserve"> means any permit issued, renewed, or revised pursuant to part 70 of this chapter.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Particulate matter</w:t>
      </w:r>
      <w:r w:rsidRPr="007E5CFA">
        <w:rPr>
          <w:rFonts w:ascii="Arial" w:eastAsia="Times New Roman" w:hAnsi="Arial" w:cs="Arial"/>
          <w:sz w:val="20"/>
          <w:szCs w:val="20"/>
        </w:rPr>
        <w:t xml:space="preserve"> means any finely divided solid or liquid material, other than uncombined water, as measured by the reference methods specified under each applicable subpart, or an equivalent or alternative method.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Permit program</w:t>
      </w:r>
      <w:r w:rsidRPr="007E5CFA">
        <w:rPr>
          <w:rFonts w:ascii="Arial" w:eastAsia="Times New Roman" w:hAnsi="Arial" w:cs="Arial"/>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Permitting authority</w:t>
      </w:r>
      <w:r w:rsidRPr="007E5CFA">
        <w:rPr>
          <w:rFonts w:ascii="Arial" w:eastAsia="Times New Roman" w:hAnsi="Arial" w:cs="Arial"/>
          <w:sz w:val="20"/>
          <w:szCs w:val="20"/>
        </w:rPr>
        <w:t xml:space="preserve"> means: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The State air pollution control agency, local agency, other State agency, or other agency authorized by the Administrator to carry out a permit program under part 70 of this chapter; or </w:t>
      </w:r>
    </w:p>
    <w:p w:rsid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The Administrator, in the case of EPA-implemented permit programs under title V of the Act (42 U.S.C. 7661). </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Proportional sampling</w:t>
      </w:r>
      <w:r w:rsidRPr="007E5CFA">
        <w:rPr>
          <w:rFonts w:ascii="Arial" w:eastAsia="Times New Roman" w:hAnsi="Arial" w:cs="Arial"/>
          <w:sz w:val="20"/>
          <w:szCs w:val="20"/>
        </w:rPr>
        <w:t xml:space="preserve"> means sampling at a rate that produces a constant ratio of sampling rate to stack gas flow rate.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Reactivation of a very clean coal-fired electric utility steam generating unit</w:t>
      </w:r>
      <w:r w:rsidRPr="007E5CFA">
        <w:rPr>
          <w:rFonts w:ascii="Arial" w:eastAsia="Times New Roman" w:hAnsi="Arial" w:cs="Arial"/>
          <w:sz w:val="20"/>
          <w:szCs w:val="20"/>
        </w:rPr>
        <w:t xml:space="preserve"> means any physical change or change in the method of operation associated with the commencement of commercial operations by a coal-fired utility unit after a period of discontinued operation where the unit: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Was equipped prior to shut-down with a continuous system of emissions control that achieves a removal efficiency for sulfur dioxide of no less than 85 percent and a removal efficiency for particulates of no less than 98 percent;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Is equipped with low-NO</w:t>
      </w:r>
      <w:r w:rsidRPr="007E5CFA">
        <w:rPr>
          <w:rFonts w:ascii="Arial" w:eastAsia="Times New Roman" w:hAnsi="Arial" w:cs="Arial"/>
          <w:sz w:val="20"/>
          <w:szCs w:val="20"/>
          <w:vertAlign w:val="subscript"/>
        </w:rPr>
        <w:t>X</w:t>
      </w:r>
      <w:r w:rsidRPr="007E5CFA">
        <w:rPr>
          <w:rFonts w:ascii="Arial" w:eastAsia="Times New Roman" w:hAnsi="Arial" w:cs="Arial"/>
          <w:sz w:val="20"/>
          <w:szCs w:val="20"/>
        </w:rPr>
        <w:t xml:space="preserve"> burners prior to the time of commencement of operations following reactivation; and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 Is otherwise in compliance with the requirements of the Clean Air Act.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Reference method</w:t>
      </w:r>
      <w:r w:rsidRPr="007E5CFA">
        <w:rPr>
          <w:rFonts w:ascii="Arial" w:eastAsia="Times New Roman" w:hAnsi="Arial" w:cs="Arial"/>
          <w:sz w:val="20"/>
          <w:szCs w:val="20"/>
        </w:rPr>
        <w:t xml:space="preserve"> means any method of sampling and analyzing for an air pollutant as specified in the applicable subpart.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Repowering</w:t>
      </w:r>
      <w:r w:rsidRPr="007E5CFA">
        <w:rPr>
          <w:rFonts w:ascii="Arial" w:eastAsia="Times New Roman" w:hAnsi="Arial" w:cs="Arial"/>
          <w:sz w:val="20"/>
          <w:szCs w:val="20"/>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Run</w:t>
      </w:r>
      <w:r w:rsidRPr="007E5CFA">
        <w:rPr>
          <w:rFonts w:ascii="Arial" w:eastAsia="Times New Roman" w:hAnsi="Arial" w:cs="Arial"/>
          <w:sz w:val="20"/>
          <w:szCs w:val="20"/>
        </w:rPr>
        <w:t xml:space="preserve"> means the net period of time during which an emission sample is collected. Unless otherwise specified, a run may be either intermittent or continuous within the limits of good engineering practice.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Shutdown</w:t>
      </w:r>
      <w:r w:rsidRPr="007E5CFA">
        <w:rPr>
          <w:rFonts w:ascii="Arial" w:eastAsia="Times New Roman" w:hAnsi="Arial" w:cs="Arial"/>
          <w:sz w:val="20"/>
          <w:szCs w:val="20"/>
        </w:rPr>
        <w:t xml:space="preserve"> means the cessation of operation of an affected facility for any purpose.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Six-minute period</w:t>
      </w:r>
      <w:r w:rsidRPr="007E5CFA">
        <w:rPr>
          <w:rFonts w:ascii="Arial" w:eastAsia="Times New Roman" w:hAnsi="Arial" w:cs="Arial"/>
          <w:sz w:val="20"/>
          <w:szCs w:val="20"/>
        </w:rPr>
        <w:t xml:space="preserve"> means any one of the 10 equal parts of a one-hour period.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Standard</w:t>
      </w:r>
      <w:r w:rsidRPr="007E5CFA">
        <w:rPr>
          <w:rFonts w:ascii="Arial" w:eastAsia="Times New Roman" w:hAnsi="Arial" w:cs="Arial"/>
          <w:sz w:val="20"/>
          <w:szCs w:val="20"/>
        </w:rPr>
        <w:t xml:space="preserve"> means a standard of performance proposed or promulgated under this part.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Standard conditions</w:t>
      </w:r>
      <w:r w:rsidRPr="007E5CFA">
        <w:rPr>
          <w:rFonts w:ascii="Arial" w:eastAsia="Times New Roman" w:hAnsi="Arial" w:cs="Arial"/>
          <w:sz w:val="20"/>
          <w:szCs w:val="20"/>
        </w:rPr>
        <w:t xml:space="preserve"> means a temperature of 293 K (68F) and a pressure of 101.3 kilopascals (29.92 in Hg). </w:t>
      </w:r>
    </w:p>
    <w:p w:rsidR="007E5CFA" w:rsidRDefault="007E5CFA">
      <w:pPr>
        <w:rPr>
          <w:rFonts w:ascii="Arial" w:eastAsia="Times New Roman" w:hAnsi="Arial" w:cs="Arial"/>
          <w:i/>
          <w:iCs/>
          <w:sz w:val="20"/>
          <w:szCs w:val="20"/>
        </w:rPr>
      </w:pPr>
      <w:r>
        <w:rPr>
          <w:rFonts w:ascii="Arial" w:eastAsia="Times New Roman" w:hAnsi="Arial" w:cs="Arial"/>
          <w:i/>
          <w:iCs/>
          <w:sz w:val="20"/>
          <w:szCs w:val="20"/>
        </w:rPr>
        <w:br w:type="page"/>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lastRenderedPageBreak/>
        <w:t>Startup</w:t>
      </w:r>
      <w:r w:rsidRPr="007E5CFA">
        <w:rPr>
          <w:rFonts w:ascii="Arial" w:eastAsia="Times New Roman" w:hAnsi="Arial" w:cs="Arial"/>
          <w:sz w:val="20"/>
          <w:szCs w:val="20"/>
        </w:rPr>
        <w:t xml:space="preserve"> means the setting in operation of an affected facility for any purpose.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State</w:t>
      </w:r>
      <w:r w:rsidRPr="007E5CFA">
        <w:rPr>
          <w:rFonts w:ascii="Arial" w:eastAsia="Times New Roman" w:hAnsi="Arial" w:cs="Arial"/>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Stationary source</w:t>
      </w:r>
      <w:r w:rsidRPr="007E5CFA">
        <w:rPr>
          <w:rFonts w:ascii="Arial" w:eastAsia="Times New Roman" w:hAnsi="Arial" w:cs="Arial"/>
          <w:sz w:val="20"/>
          <w:szCs w:val="20"/>
        </w:rPr>
        <w:t xml:space="preserve"> means any building, structure, facility, or installation which emits or may emit any air pollutant.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Title V permit</w:t>
      </w:r>
      <w:r w:rsidRPr="007E5CFA">
        <w:rPr>
          <w:rFonts w:ascii="Arial" w:eastAsia="Times New Roman" w:hAnsi="Arial" w:cs="Arial"/>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i/>
          <w:iCs/>
          <w:sz w:val="20"/>
          <w:szCs w:val="20"/>
        </w:rPr>
        <w:t>Volatile Organic Compound</w:t>
      </w:r>
      <w:r w:rsidRPr="007E5CFA">
        <w:rPr>
          <w:rFonts w:ascii="Arial" w:eastAsia="Times New Roman" w:hAnsi="Arial" w:cs="Arial"/>
          <w:sz w:val="20"/>
          <w:szCs w:val="20"/>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 xml:space="preserve">[44 FR 55173, Sept. 25, 1979, as amended at 45 FR 5617, Jan. 23, 1980; 45 FR 85415, Dec. 24, 1980; 54 FR 6662, Feb. 14, 1989; 55 FR 51382, Dec. 13, 1990; 57 FR 32338, July 21, 1992; 59 FR 12427, Mar. 16, 1994; 72 FR 27442, May 16, 2007] </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31"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22" name="Picture 22"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3" w:name="40:7.0.1.1.1.1.151.3"/>
      <w:bookmarkEnd w:id="3"/>
      <w:r w:rsidRPr="007E5CFA">
        <w:rPr>
          <w:rFonts w:ascii="Arial" w:eastAsia="Times New Roman" w:hAnsi="Arial" w:cs="Arial"/>
          <w:b/>
          <w:bCs/>
          <w:sz w:val="20"/>
          <w:szCs w:val="20"/>
        </w:rPr>
        <w:t>§60.3   Units and abbreviations.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Used in this part are abbreviations and symbols of units of measure. These are defined as follows: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(a) System International (SI) units of measure: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A—ampere</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g—</w:t>
      </w:r>
      <w:proofErr w:type="gramEnd"/>
      <w:r w:rsidRPr="007E5CFA">
        <w:rPr>
          <w:rFonts w:ascii="Arial" w:eastAsia="Times New Roman" w:hAnsi="Arial" w:cs="Arial"/>
          <w:sz w:val="20"/>
          <w:szCs w:val="20"/>
        </w:rPr>
        <w:t>gram</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Hz—hertz</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J—joule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K—degree Kelvin</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kg—</w:t>
      </w:r>
      <w:proofErr w:type="gramEnd"/>
      <w:r w:rsidRPr="007E5CFA">
        <w:rPr>
          <w:rFonts w:ascii="Arial" w:eastAsia="Times New Roman" w:hAnsi="Arial" w:cs="Arial"/>
          <w:sz w:val="20"/>
          <w:szCs w:val="20"/>
        </w:rPr>
        <w:t>kilogram</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m—</w:t>
      </w:r>
      <w:proofErr w:type="gramEnd"/>
      <w:r w:rsidRPr="007E5CFA">
        <w:rPr>
          <w:rFonts w:ascii="Arial" w:eastAsia="Times New Roman" w:hAnsi="Arial" w:cs="Arial"/>
          <w:sz w:val="20"/>
          <w:szCs w:val="20"/>
        </w:rPr>
        <w:t>meter</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m</w:t>
      </w:r>
      <w:r w:rsidRPr="007E5CFA">
        <w:rPr>
          <w:rFonts w:ascii="Arial" w:eastAsia="Times New Roman" w:hAnsi="Arial" w:cs="Arial"/>
          <w:sz w:val="20"/>
          <w:szCs w:val="20"/>
          <w:vertAlign w:val="superscript"/>
        </w:rPr>
        <w:t>3</w:t>
      </w:r>
      <w:r w:rsidRPr="007E5CFA">
        <w:rPr>
          <w:rFonts w:ascii="Arial" w:eastAsia="Times New Roman" w:hAnsi="Arial" w:cs="Arial"/>
          <w:sz w:val="20"/>
          <w:szCs w:val="20"/>
        </w:rPr>
        <w:t>—cubic meter</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mg—</w:t>
      </w:r>
      <w:proofErr w:type="gramEnd"/>
      <w:r w:rsidRPr="007E5CFA">
        <w:rPr>
          <w:rFonts w:ascii="Arial" w:eastAsia="Times New Roman" w:hAnsi="Arial" w:cs="Arial"/>
          <w:sz w:val="20"/>
          <w:szCs w:val="20"/>
        </w:rPr>
        <w:t>milligram—10</w:t>
      </w:r>
      <w:r w:rsidRPr="007E5CFA">
        <w:rPr>
          <w:rFonts w:ascii="Arial" w:eastAsia="Times New Roman" w:hAnsi="Arial" w:cs="Arial"/>
          <w:sz w:val="20"/>
          <w:szCs w:val="20"/>
          <w:vertAlign w:val="superscript"/>
        </w:rPr>
        <w:t>−3</w:t>
      </w:r>
      <w:r w:rsidRPr="007E5CFA">
        <w:rPr>
          <w:rFonts w:ascii="Arial" w:eastAsia="Times New Roman" w:hAnsi="Arial" w:cs="Arial"/>
          <w:sz w:val="20"/>
          <w:szCs w:val="20"/>
        </w:rPr>
        <w:t xml:space="preserve"> gram</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mm—</w:t>
      </w:r>
      <w:proofErr w:type="gramEnd"/>
      <w:r w:rsidRPr="007E5CFA">
        <w:rPr>
          <w:rFonts w:ascii="Arial" w:eastAsia="Times New Roman" w:hAnsi="Arial" w:cs="Arial"/>
          <w:sz w:val="20"/>
          <w:szCs w:val="20"/>
        </w:rPr>
        <w:t>millimeter—10</w:t>
      </w:r>
      <w:r w:rsidRPr="007E5CFA">
        <w:rPr>
          <w:rFonts w:ascii="Arial" w:eastAsia="Times New Roman" w:hAnsi="Arial" w:cs="Arial"/>
          <w:sz w:val="20"/>
          <w:szCs w:val="20"/>
          <w:vertAlign w:val="superscript"/>
        </w:rPr>
        <w:t>−3</w:t>
      </w:r>
      <w:r w:rsidRPr="007E5CFA">
        <w:rPr>
          <w:rFonts w:ascii="Arial" w:eastAsia="Times New Roman" w:hAnsi="Arial" w:cs="Arial"/>
          <w:sz w:val="20"/>
          <w:szCs w:val="20"/>
        </w:rPr>
        <w:t xml:space="preserve"> meter</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lastRenderedPageBreak/>
        <w:t>Mg—megagram—10</w:t>
      </w:r>
      <w:r w:rsidRPr="007E5CFA">
        <w:rPr>
          <w:rFonts w:ascii="Arial" w:eastAsia="Times New Roman" w:hAnsi="Arial" w:cs="Arial"/>
          <w:sz w:val="20"/>
          <w:szCs w:val="20"/>
          <w:vertAlign w:val="superscript"/>
        </w:rPr>
        <w:t>6</w:t>
      </w:r>
      <w:r w:rsidRPr="007E5CFA">
        <w:rPr>
          <w:rFonts w:ascii="Arial" w:eastAsia="Times New Roman" w:hAnsi="Arial" w:cs="Arial"/>
          <w:sz w:val="20"/>
          <w:szCs w:val="20"/>
        </w:rPr>
        <w:t xml:space="preserve"> gram</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mol—</w:t>
      </w:r>
      <w:proofErr w:type="gramEnd"/>
      <w:r w:rsidRPr="007E5CFA">
        <w:rPr>
          <w:rFonts w:ascii="Arial" w:eastAsia="Times New Roman" w:hAnsi="Arial" w:cs="Arial"/>
          <w:sz w:val="20"/>
          <w:szCs w:val="20"/>
        </w:rPr>
        <w:t>mole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N—newton</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ng—</w:t>
      </w:r>
      <w:proofErr w:type="gramEnd"/>
      <w:r w:rsidRPr="007E5CFA">
        <w:rPr>
          <w:rFonts w:ascii="Arial" w:eastAsia="Times New Roman" w:hAnsi="Arial" w:cs="Arial"/>
          <w:sz w:val="20"/>
          <w:szCs w:val="20"/>
        </w:rPr>
        <w:t>nanogram—10</w:t>
      </w:r>
      <w:r w:rsidRPr="007E5CFA">
        <w:rPr>
          <w:rFonts w:ascii="Arial" w:eastAsia="Times New Roman" w:hAnsi="Arial" w:cs="Arial"/>
          <w:sz w:val="20"/>
          <w:szCs w:val="20"/>
          <w:vertAlign w:val="superscript"/>
        </w:rPr>
        <w:t>−9</w:t>
      </w:r>
      <w:r w:rsidRPr="007E5CFA">
        <w:rPr>
          <w:rFonts w:ascii="Arial" w:eastAsia="Times New Roman" w:hAnsi="Arial" w:cs="Arial"/>
          <w:sz w:val="20"/>
          <w:szCs w:val="20"/>
        </w:rPr>
        <w:t xml:space="preserve"> gram</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nm—</w:t>
      </w:r>
      <w:proofErr w:type="gramEnd"/>
      <w:r w:rsidRPr="007E5CFA">
        <w:rPr>
          <w:rFonts w:ascii="Arial" w:eastAsia="Times New Roman" w:hAnsi="Arial" w:cs="Arial"/>
          <w:sz w:val="20"/>
          <w:szCs w:val="20"/>
        </w:rPr>
        <w:t>nanometer—10</w:t>
      </w:r>
      <w:r w:rsidRPr="007E5CFA">
        <w:rPr>
          <w:rFonts w:ascii="Arial" w:eastAsia="Times New Roman" w:hAnsi="Arial" w:cs="Arial"/>
          <w:sz w:val="20"/>
          <w:szCs w:val="20"/>
          <w:vertAlign w:val="superscript"/>
        </w:rPr>
        <w:t>−9</w:t>
      </w:r>
      <w:r w:rsidRPr="007E5CFA">
        <w:rPr>
          <w:rFonts w:ascii="Arial" w:eastAsia="Times New Roman" w:hAnsi="Arial" w:cs="Arial"/>
          <w:sz w:val="20"/>
          <w:szCs w:val="20"/>
        </w:rPr>
        <w:t xml:space="preserve"> meter</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Pa—pascal</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s—</w:t>
      </w:r>
      <w:proofErr w:type="gramEnd"/>
      <w:r w:rsidRPr="007E5CFA">
        <w:rPr>
          <w:rFonts w:ascii="Arial" w:eastAsia="Times New Roman" w:hAnsi="Arial" w:cs="Arial"/>
          <w:sz w:val="20"/>
          <w:szCs w:val="20"/>
        </w:rPr>
        <w:t>second</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V—volt</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 xml:space="preserve">W—watt </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 xml:space="preserve">Ω—ohm </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µg—microgram—10</w:t>
      </w:r>
      <w:r w:rsidRPr="007E5CFA">
        <w:rPr>
          <w:rFonts w:ascii="Arial" w:eastAsia="Times New Roman" w:hAnsi="Arial" w:cs="Arial"/>
          <w:sz w:val="20"/>
          <w:szCs w:val="20"/>
          <w:vertAlign w:val="superscript"/>
        </w:rPr>
        <w:t>−6</w:t>
      </w:r>
      <w:r w:rsidRPr="007E5CFA">
        <w:rPr>
          <w:rFonts w:ascii="Arial" w:eastAsia="Times New Roman" w:hAnsi="Arial" w:cs="Arial"/>
          <w:sz w:val="20"/>
          <w:szCs w:val="20"/>
        </w:rPr>
        <w:t xml:space="preserve"> gram</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(b) Other units of measure: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Btu—British thermal unit</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 xml:space="preserve">°C—degree Celsius (centigrade) </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cal—</w:t>
      </w:r>
      <w:proofErr w:type="gramEnd"/>
      <w:r w:rsidRPr="007E5CFA">
        <w:rPr>
          <w:rFonts w:ascii="Arial" w:eastAsia="Times New Roman" w:hAnsi="Arial" w:cs="Arial"/>
          <w:sz w:val="20"/>
          <w:szCs w:val="20"/>
        </w:rPr>
        <w:t xml:space="preserve">calorie </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cfm—</w:t>
      </w:r>
      <w:proofErr w:type="gramEnd"/>
      <w:r w:rsidRPr="007E5CFA">
        <w:rPr>
          <w:rFonts w:ascii="Arial" w:eastAsia="Times New Roman" w:hAnsi="Arial" w:cs="Arial"/>
          <w:sz w:val="20"/>
          <w:szCs w:val="20"/>
        </w:rPr>
        <w:t>cubic feet per minute</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cu</w:t>
      </w:r>
      <w:proofErr w:type="gramEnd"/>
      <w:r w:rsidRPr="007E5CFA">
        <w:rPr>
          <w:rFonts w:ascii="Arial" w:eastAsia="Times New Roman" w:hAnsi="Arial" w:cs="Arial"/>
          <w:sz w:val="20"/>
          <w:szCs w:val="20"/>
        </w:rPr>
        <w:t xml:space="preserve"> ft—cubic feet</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dcf—</w:t>
      </w:r>
      <w:proofErr w:type="gramEnd"/>
      <w:r w:rsidRPr="007E5CFA">
        <w:rPr>
          <w:rFonts w:ascii="Arial" w:eastAsia="Times New Roman" w:hAnsi="Arial" w:cs="Arial"/>
          <w:sz w:val="20"/>
          <w:szCs w:val="20"/>
        </w:rPr>
        <w:t>dry cubic feet</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dcm—</w:t>
      </w:r>
      <w:proofErr w:type="gramEnd"/>
      <w:r w:rsidRPr="007E5CFA">
        <w:rPr>
          <w:rFonts w:ascii="Arial" w:eastAsia="Times New Roman" w:hAnsi="Arial" w:cs="Arial"/>
          <w:sz w:val="20"/>
          <w:szCs w:val="20"/>
        </w:rPr>
        <w:t>dry cubic meter</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dscf—</w:t>
      </w:r>
      <w:proofErr w:type="gramEnd"/>
      <w:r w:rsidRPr="007E5CFA">
        <w:rPr>
          <w:rFonts w:ascii="Arial" w:eastAsia="Times New Roman" w:hAnsi="Arial" w:cs="Arial"/>
          <w:sz w:val="20"/>
          <w:szCs w:val="20"/>
        </w:rPr>
        <w:t>dry cubic feet at standard conditions</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dscm—</w:t>
      </w:r>
      <w:proofErr w:type="gramEnd"/>
      <w:r w:rsidRPr="007E5CFA">
        <w:rPr>
          <w:rFonts w:ascii="Arial" w:eastAsia="Times New Roman" w:hAnsi="Arial" w:cs="Arial"/>
          <w:sz w:val="20"/>
          <w:szCs w:val="20"/>
        </w:rPr>
        <w:t>dry cubic meter at standard conditions</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eq—</w:t>
      </w:r>
      <w:proofErr w:type="gramEnd"/>
      <w:r w:rsidRPr="007E5CFA">
        <w:rPr>
          <w:rFonts w:ascii="Arial" w:eastAsia="Times New Roman" w:hAnsi="Arial" w:cs="Arial"/>
          <w:sz w:val="20"/>
          <w:szCs w:val="20"/>
        </w:rPr>
        <w:t>equivalent</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°F—degree Fahrenheit</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ft—</w:t>
      </w:r>
      <w:proofErr w:type="gramEnd"/>
      <w:r w:rsidRPr="007E5CFA">
        <w:rPr>
          <w:rFonts w:ascii="Arial" w:eastAsia="Times New Roman" w:hAnsi="Arial" w:cs="Arial"/>
          <w:sz w:val="20"/>
          <w:szCs w:val="20"/>
        </w:rPr>
        <w:t>feet</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gal—</w:t>
      </w:r>
      <w:proofErr w:type="gramEnd"/>
      <w:r w:rsidRPr="007E5CFA">
        <w:rPr>
          <w:rFonts w:ascii="Arial" w:eastAsia="Times New Roman" w:hAnsi="Arial" w:cs="Arial"/>
          <w:sz w:val="20"/>
          <w:szCs w:val="20"/>
        </w:rPr>
        <w:t>gallon</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gr—</w:t>
      </w:r>
      <w:proofErr w:type="gramEnd"/>
      <w:r w:rsidRPr="007E5CFA">
        <w:rPr>
          <w:rFonts w:ascii="Arial" w:eastAsia="Times New Roman" w:hAnsi="Arial" w:cs="Arial"/>
          <w:sz w:val="20"/>
          <w:szCs w:val="20"/>
        </w:rPr>
        <w:t>grain</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g-eq—</w:t>
      </w:r>
      <w:proofErr w:type="gramEnd"/>
      <w:r w:rsidRPr="007E5CFA">
        <w:rPr>
          <w:rFonts w:ascii="Arial" w:eastAsia="Times New Roman" w:hAnsi="Arial" w:cs="Arial"/>
          <w:sz w:val="20"/>
          <w:szCs w:val="20"/>
        </w:rPr>
        <w:t>gram equivalent</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lastRenderedPageBreak/>
        <w:t>hr—</w:t>
      </w:r>
      <w:proofErr w:type="gramEnd"/>
      <w:r w:rsidRPr="007E5CFA">
        <w:rPr>
          <w:rFonts w:ascii="Arial" w:eastAsia="Times New Roman" w:hAnsi="Arial" w:cs="Arial"/>
          <w:sz w:val="20"/>
          <w:szCs w:val="20"/>
        </w:rPr>
        <w:t>hour</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in—</w:t>
      </w:r>
      <w:proofErr w:type="gramEnd"/>
      <w:r w:rsidRPr="007E5CFA">
        <w:rPr>
          <w:rFonts w:ascii="Arial" w:eastAsia="Times New Roman" w:hAnsi="Arial" w:cs="Arial"/>
          <w:sz w:val="20"/>
          <w:szCs w:val="20"/>
        </w:rPr>
        <w:t>inch</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k—</w:t>
      </w:r>
      <w:proofErr w:type="gramEnd"/>
      <w:r w:rsidRPr="007E5CFA">
        <w:rPr>
          <w:rFonts w:ascii="Arial" w:eastAsia="Times New Roman" w:hAnsi="Arial" w:cs="Arial"/>
          <w:sz w:val="20"/>
          <w:szCs w:val="20"/>
        </w:rPr>
        <w:t>1,000</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l—</w:t>
      </w:r>
      <w:proofErr w:type="gramEnd"/>
      <w:r w:rsidRPr="007E5CFA">
        <w:rPr>
          <w:rFonts w:ascii="Arial" w:eastAsia="Times New Roman" w:hAnsi="Arial" w:cs="Arial"/>
          <w:sz w:val="20"/>
          <w:szCs w:val="20"/>
        </w:rPr>
        <w:t>liter</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lpm—</w:t>
      </w:r>
      <w:proofErr w:type="gramEnd"/>
      <w:r w:rsidRPr="007E5CFA">
        <w:rPr>
          <w:rFonts w:ascii="Arial" w:eastAsia="Times New Roman" w:hAnsi="Arial" w:cs="Arial"/>
          <w:sz w:val="20"/>
          <w:szCs w:val="20"/>
        </w:rPr>
        <w:t>liter per minute</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lb—</w:t>
      </w:r>
      <w:proofErr w:type="gramEnd"/>
      <w:r w:rsidRPr="007E5CFA">
        <w:rPr>
          <w:rFonts w:ascii="Arial" w:eastAsia="Times New Roman" w:hAnsi="Arial" w:cs="Arial"/>
          <w:sz w:val="20"/>
          <w:szCs w:val="20"/>
        </w:rPr>
        <w:t>pound</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meq—</w:t>
      </w:r>
      <w:proofErr w:type="gramEnd"/>
      <w:r w:rsidRPr="007E5CFA">
        <w:rPr>
          <w:rFonts w:ascii="Arial" w:eastAsia="Times New Roman" w:hAnsi="Arial" w:cs="Arial"/>
          <w:sz w:val="20"/>
          <w:szCs w:val="20"/>
        </w:rPr>
        <w:t>milliequivalent</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min—</w:t>
      </w:r>
      <w:proofErr w:type="gramEnd"/>
      <w:r w:rsidRPr="007E5CFA">
        <w:rPr>
          <w:rFonts w:ascii="Arial" w:eastAsia="Times New Roman" w:hAnsi="Arial" w:cs="Arial"/>
          <w:sz w:val="20"/>
          <w:szCs w:val="20"/>
        </w:rPr>
        <w:t>minute</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ml—</w:t>
      </w:r>
      <w:proofErr w:type="gramEnd"/>
      <w:r w:rsidRPr="007E5CFA">
        <w:rPr>
          <w:rFonts w:ascii="Arial" w:eastAsia="Times New Roman" w:hAnsi="Arial" w:cs="Arial"/>
          <w:sz w:val="20"/>
          <w:szCs w:val="20"/>
        </w:rPr>
        <w:t>milliliter</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mol. wt.—molecular weight</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ppb—</w:t>
      </w:r>
      <w:proofErr w:type="gramEnd"/>
      <w:r w:rsidRPr="007E5CFA">
        <w:rPr>
          <w:rFonts w:ascii="Arial" w:eastAsia="Times New Roman" w:hAnsi="Arial" w:cs="Arial"/>
          <w:sz w:val="20"/>
          <w:szCs w:val="20"/>
        </w:rPr>
        <w:t>parts per billion</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ppm—</w:t>
      </w:r>
      <w:proofErr w:type="gramEnd"/>
      <w:r w:rsidRPr="007E5CFA">
        <w:rPr>
          <w:rFonts w:ascii="Arial" w:eastAsia="Times New Roman" w:hAnsi="Arial" w:cs="Arial"/>
          <w:sz w:val="20"/>
          <w:szCs w:val="20"/>
        </w:rPr>
        <w:t>parts per million</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psia—</w:t>
      </w:r>
      <w:proofErr w:type="gramEnd"/>
      <w:r w:rsidRPr="007E5CFA">
        <w:rPr>
          <w:rFonts w:ascii="Arial" w:eastAsia="Times New Roman" w:hAnsi="Arial" w:cs="Arial"/>
          <w:sz w:val="20"/>
          <w:szCs w:val="20"/>
        </w:rPr>
        <w:t>pounds per square inch absolute</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psig—</w:t>
      </w:r>
      <w:proofErr w:type="gramEnd"/>
      <w:r w:rsidRPr="007E5CFA">
        <w:rPr>
          <w:rFonts w:ascii="Arial" w:eastAsia="Times New Roman" w:hAnsi="Arial" w:cs="Arial"/>
          <w:sz w:val="20"/>
          <w:szCs w:val="20"/>
        </w:rPr>
        <w:t>pounds per square inch gage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°R—degree Rankine</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scf—</w:t>
      </w:r>
      <w:proofErr w:type="gramEnd"/>
      <w:r w:rsidRPr="007E5CFA">
        <w:rPr>
          <w:rFonts w:ascii="Arial" w:eastAsia="Times New Roman" w:hAnsi="Arial" w:cs="Arial"/>
          <w:sz w:val="20"/>
          <w:szCs w:val="20"/>
        </w:rPr>
        <w:t>cubic feet at standard conditions</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scfh—</w:t>
      </w:r>
      <w:proofErr w:type="gramEnd"/>
      <w:r w:rsidRPr="007E5CFA">
        <w:rPr>
          <w:rFonts w:ascii="Arial" w:eastAsia="Times New Roman" w:hAnsi="Arial" w:cs="Arial"/>
          <w:sz w:val="20"/>
          <w:szCs w:val="20"/>
        </w:rPr>
        <w:t>cubic feet per hour at standard conditions</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scm—</w:t>
      </w:r>
      <w:proofErr w:type="gramEnd"/>
      <w:r w:rsidRPr="007E5CFA">
        <w:rPr>
          <w:rFonts w:ascii="Arial" w:eastAsia="Times New Roman" w:hAnsi="Arial" w:cs="Arial"/>
          <w:sz w:val="20"/>
          <w:szCs w:val="20"/>
        </w:rPr>
        <w:t>cubic meter at standard conditions</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sec—</w:t>
      </w:r>
      <w:proofErr w:type="gramEnd"/>
      <w:r w:rsidRPr="007E5CFA">
        <w:rPr>
          <w:rFonts w:ascii="Arial" w:eastAsia="Times New Roman" w:hAnsi="Arial" w:cs="Arial"/>
          <w:sz w:val="20"/>
          <w:szCs w:val="20"/>
        </w:rPr>
        <w:t>second</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sq</w:t>
      </w:r>
      <w:proofErr w:type="gramEnd"/>
      <w:r w:rsidRPr="007E5CFA">
        <w:rPr>
          <w:rFonts w:ascii="Arial" w:eastAsia="Times New Roman" w:hAnsi="Arial" w:cs="Arial"/>
          <w:sz w:val="20"/>
          <w:szCs w:val="20"/>
        </w:rPr>
        <w:t xml:space="preserve"> ft—square feet</w:t>
      </w:r>
    </w:p>
    <w:p w:rsidR="007E5CFA" w:rsidRPr="007E5CFA" w:rsidRDefault="007E5CFA" w:rsidP="007E5CFA">
      <w:pPr>
        <w:spacing w:before="200" w:after="100" w:line="240" w:lineRule="auto"/>
        <w:ind w:left="480" w:hanging="480"/>
        <w:rPr>
          <w:rFonts w:ascii="Arial" w:eastAsia="Times New Roman" w:hAnsi="Arial" w:cs="Arial"/>
          <w:sz w:val="20"/>
          <w:szCs w:val="20"/>
        </w:rPr>
      </w:pPr>
      <w:proofErr w:type="gramStart"/>
      <w:r w:rsidRPr="007E5CFA">
        <w:rPr>
          <w:rFonts w:ascii="Arial" w:eastAsia="Times New Roman" w:hAnsi="Arial" w:cs="Arial"/>
          <w:sz w:val="20"/>
          <w:szCs w:val="20"/>
        </w:rPr>
        <w:t>std—</w:t>
      </w:r>
      <w:proofErr w:type="gramEnd"/>
      <w:r w:rsidRPr="007E5CFA">
        <w:rPr>
          <w:rFonts w:ascii="Arial" w:eastAsia="Times New Roman" w:hAnsi="Arial" w:cs="Arial"/>
          <w:sz w:val="20"/>
          <w:szCs w:val="20"/>
        </w:rPr>
        <w:t>at standard conditions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(c) Chemical nomenclature: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CdS—cadmium sulfide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CO—carbon monoxide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CO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—carbon dioxide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HCl—hydrochloric acid</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Hg—mercury</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lastRenderedPageBreak/>
        <w:t>H</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O—water</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H</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S—hydrogen sulfide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H</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SO</w:t>
      </w:r>
      <w:r w:rsidRPr="007E5CFA">
        <w:rPr>
          <w:rFonts w:ascii="Arial" w:eastAsia="Times New Roman" w:hAnsi="Arial" w:cs="Arial"/>
          <w:sz w:val="20"/>
          <w:szCs w:val="20"/>
          <w:vertAlign w:val="subscript"/>
        </w:rPr>
        <w:t>4</w:t>
      </w:r>
      <w:r w:rsidRPr="007E5CFA">
        <w:rPr>
          <w:rFonts w:ascii="Arial" w:eastAsia="Times New Roman" w:hAnsi="Arial" w:cs="Arial"/>
          <w:sz w:val="20"/>
          <w:szCs w:val="20"/>
        </w:rPr>
        <w:t>—sulfuric acid</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N</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—nitrogen</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NO—nitric oxide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NO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—nitrogen dioxide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NO</w:t>
      </w:r>
      <w:r w:rsidRPr="007E5CFA">
        <w:rPr>
          <w:rFonts w:ascii="Arial" w:eastAsia="Times New Roman" w:hAnsi="Arial" w:cs="Arial"/>
          <w:sz w:val="20"/>
          <w:szCs w:val="20"/>
          <w:vertAlign w:val="subscript"/>
        </w:rPr>
        <w:t>X</w:t>
      </w:r>
      <w:r w:rsidRPr="007E5CFA">
        <w:rPr>
          <w:rFonts w:ascii="Arial" w:eastAsia="Times New Roman" w:hAnsi="Arial" w:cs="Arial"/>
          <w:sz w:val="20"/>
          <w:szCs w:val="20"/>
        </w:rPr>
        <w:t>—nitrogen oxides</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—oxygen</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SO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—sulfur dioxide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SO</w:t>
      </w:r>
      <w:r w:rsidRPr="007E5CFA">
        <w:rPr>
          <w:rFonts w:ascii="Arial" w:eastAsia="Times New Roman" w:hAnsi="Arial" w:cs="Arial"/>
          <w:sz w:val="20"/>
          <w:szCs w:val="20"/>
          <w:vertAlign w:val="subscript"/>
        </w:rPr>
        <w:t>3</w:t>
      </w:r>
      <w:r w:rsidRPr="007E5CFA">
        <w:rPr>
          <w:rFonts w:ascii="Arial" w:eastAsia="Times New Roman" w:hAnsi="Arial" w:cs="Arial"/>
          <w:sz w:val="20"/>
          <w:szCs w:val="20"/>
        </w:rPr>
        <w:t>—sulfur trioxide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SO</w:t>
      </w:r>
      <w:r w:rsidRPr="007E5CFA">
        <w:rPr>
          <w:rFonts w:ascii="Arial" w:eastAsia="Times New Roman" w:hAnsi="Arial" w:cs="Arial"/>
          <w:sz w:val="20"/>
          <w:szCs w:val="20"/>
          <w:vertAlign w:val="subscript"/>
        </w:rPr>
        <w:t>X</w:t>
      </w:r>
      <w:r w:rsidRPr="007E5CFA">
        <w:rPr>
          <w:rFonts w:ascii="Arial" w:eastAsia="Times New Roman" w:hAnsi="Arial" w:cs="Arial"/>
          <w:sz w:val="20"/>
          <w:szCs w:val="20"/>
        </w:rPr>
        <w:t>—sulfur oxides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(d) Miscellaneous:</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A.S.T.M.—American Society for Testing and Materials</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[42 FR 37000, July 19, 1977; 42 FR 38178, July 27, 1977]</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32"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21" name="Picture 21"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4" w:name="40:7.0.1.1.1.1.151.4"/>
      <w:bookmarkEnd w:id="4"/>
      <w:r w:rsidRPr="007E5CFA">
        <w:rPr>
          <w:rFonts w:ascii="Arial" w:eastAsia="Times New Roman" w:hAnsi="Arial" w:cs="Arial"/>
          <w:b/>
          <w:bCs/>
          <w:sz w:val="20"/>
          <w:szCs w:val="20"/>
        </w:rPr>
        <w:t>§60.4   Address.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Region I (Connecticut, Maine, Massachusetts, New Hampshire, Rhode Island, Vermont), Director, Office of Ecosystem Protection, U.S. Environmental Protection Agency, 5 Post Office Square—Suite 100, Boston, MA 02109-3912.</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 xml:space="preserve">Region II (New Jersey, New York, Puerto Rico, Virgin Islands), Director, Air and Waste Management Division, U.S. Environmental Protection Agency, Federal Office Building, 26 Federal Plaza (Foley Square), New York, NY 10278. </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 xml:space="preserve">Region III (Delaware, District of Columbia, Maryland, Pennsylvania, Virginia, West Virginia), Director, Air Protection Division, Mail Code 3AP00, 1650 Arch Street, Philadelphia, PA 19103-2029. </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 xml:space="preserve">Region IV (Alabama, Florida, Georgia, Kentucky, Mississippi, North Carolina, South Carolina, Tennessee), Director, Air, Pesticides and Toxics Management Division, U.S. Environmental Protection Agency, 61 Forsyth St. SW., Suite 9T43, Atlanta, Georgia 30303-8960. </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lastRenderedPageBreak/>
        <w:t xml:space="preserve">Region V (Illinois, Indiana, Michigan, Minnesota, Ohio, Wisconsin), Director, Air and Radiation Division, U.S. Environmental Protection Agency, 77 West Jackson Boulevard, Chicago, IL 60604-3590. </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Region VI (Arkansas, Louisiana, New Mexico, Oklahoma, Texas); Director; Air, Pesticides, and Toxics Division; U.S. Environmental Protection Agency, 1445 Ross Avenue, Dallas, TX 75202.</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Region VII (Iowa, Kansas, Missouri, Nebraska), Director, Air and Waste Management Division, 11201 Renner Boulevard, Lenexa, Kansas 66219.</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Region VIII (Colorado, Montana, North Dakota, South Dakota, Utah, Wyoming) Director, Air and Toxics Technical Enforcement Program, Office of Enforcement, Compliance and Environmental Justice, Mail Code 8ENF-AT, 1595 Wynkoop Street, Denver, CO 80202-1129.</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Region X (Alaska, Oregon, Idaho, Washington), Director, Air and Waste Management Division, U.S. Environmental Protection Agency, 1200 Sixth Avenue, Seattle, WA 98101.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(A) [Reserved]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(B) State of Alabama: Alabama Department of Environmental Management, P.O. Box 301463, Montgomery, Alabama 36130-1463.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(C) State of Alaska, Department of Environmental Conservation, Pouch O, Juneau, AK 99811.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(D) Arizona:</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Arizona Department of Environmental Quality, 1110 West Washington Street, Phoenix, AZ 85007.</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Maricopa County Air Quality Department, 1001 North Central Avenue, Suite 900, Phoenix, AZ 85004.</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Pima County Department of Environmental Quality, 33 North Stone Avenue, Suite 700, Tucson, AZ 85701.</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Pinal County Air Quality Control District, 31 North Pinal Street, Building F, Florence, AZ 85132.</w:t>
      </w:r>
    </w:p>
    <w:p w:rsidR="007E5CFA" w:rsidRDefault="007E5CFA">
      <w:pPr>
        <w:rPr>
          <w:rFonts w:ascii="Arial" w:eastAsia="Times New Roman" w:hAnsi="Arial" w:cs="Arial"/>
          <w:smallCaps/>
          <w:sz w:val="20"/>
          <w:szCs w:val="20"/>
        </w:rPr>
      </w:pPr>
      <w:r>
        <w:rPr>
          <w:rFonts w:ascii="Arial" w:eastAsia="Times New Roman" w:hAnsi="Arial" w:cs="Arial"/>
          <w:smallCaps/>
          <w:sz w:val="20"/>
          <w:szCs w:val="20"/>
        </w:rPr>
        <w:br w:type="page"/>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lastRenderedPageBreak/>
        <w:t>Note:</w:t>
      </w:r>
      <w:r w:rsidRPr="007E5CFA">
        <w:rPr>
          <w:rFonts w:ascii="Arial" w:eastAsia="Times New Roman" w:hAnsi="Arial" w:cs="Arial"/>
          <w:sz w:val="20"/>
          <w:szCs w:val="20"/>
        </w:rPr>
        <w:t xml:space="preserve"> For tables listing the delegation status of agencies in Region IX, see paragraph (d)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(E) State of Arkansas: Chief, Division of Air Pollution Control, Arkansas Department of Pollution Control and Ecology, 8001 National Drive, P.O. Box 9583, Little Rock, AR 72209.</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(F) California:</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Amador County Air Pollution Control District, 12200-B Airport Road, Jackson, CA 95642.</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Antelope Valley Air Quality Management District, 43301 Division Street, Suite 206, Lancaster, CA 93535.</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Bay Area Air Quality Management District, 939 Ellis Street, San Francisco, CA 94109.</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Butte County Air Quality Management District, 2525 Dominic Drive, Suite J, Chico, CA 95928.</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Calaveras County Air Pollution Control District, 891 Mountain Ranch Road, San Andreas, CA 95249.</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Colusa County Air Pollution Control District, 100 Sunrise Blvd., Suite A-3, Colusa, CA 95932-3246.</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El Dorado County Air Quality Management District, 2850 Fairlane Court, Bldg. C, Placerville, CA 95667-4100.</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Eastern Kern Air Pollution Control District, 2700 “M” Street, Suite 302, Bakersfield, CA 93301-2370.</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Feather River Air Quality Management District, 1007 Live Oak Blvd., Suite B-3, Yuba City, CA 95991.</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Glenn County Air Pollution Control District, 720 N. Colusa Street, P.O. Box 351, Willows, CA 95988-0351.</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Great Basin Unified Air Pollution Control District, 157 Short Street, Suite 6, Bishop, CA 93514-3537.</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Imperial County Air Pollution Control District, 150 South Ninth Street, El Centro, CA 92243-2801.</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Lake County Air Quality Management District, 885 Lakeport Blvd., Lakeport, CA 95453-5405.</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Lassen County Air Pollution Control District, 707 Nevada Street, Suite 1, Susanville, CA 96130.</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Mariposa County Air Pollution Control District, P.O. Box 5, Mariposa, CA 95338.</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Mendocino County Air Quality Management District, 306 E. Gobbi Street, Ukiah, CA 95482-5511.</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Modoc County Air Pollution Control District, 619 North Main Street, Alturas, CA 96101.</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Mojave Desert Air Quality Management District, 14306 Park Avenue, Victorville, CA 92392-2310.</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Monterey Bay Unified Air Pollution Control District, 24580 Silver Cloud Court, Monterey, CA 93940.</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 xml:space="preserve">North Coast Unified Air Quality Management District, 2300 Myrtle Avenue, Eureka, </w:t>
      </w:r>
      <w:proofErr w:type="gramStart"/>
      <w:r w:rsidRPr="007E5CFA">
        <w:rPr>
          <w:rFonts w:ascii="Arial" w:eastAsia="Times New Roman" w:hAnsi="Arial" w:cs="Arial"/>
          <w:sz w:val="20"/>
          <w:szCs w:val="20"/>
        </w:rPr>
        <w:t>CA</w:t>
      </w:r>
      <w:proofErr w:type="gramEnd"/>
      <w:r w:rsidRPr="007E5CFA">
        <w:rPr>
          <w:rFonts w:ascii="Arial" w:eastAsia="Times New Roman" w:hAnsi="Arial" w:cs="Arial"/>
          <w:sz w:val="20"/>
          <w:szCs w:val="20"/>
        </w:rPr>
        <w:t xml:space="preserve"> 95501-3327.</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Northern Sierra Air Quality Management District, 200 Litton Drive, Suite 320, P.O. Box 2509, Grass Valley, CA 95945-2509.</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lastRenderedPageBreak/>
        <w:t>Northern Sonoma County Air Pollution Control District, 150 Matheson Street, Healdsburg, CA 95448-4908.</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Placer County Air Pollution Control District, 3091 County Center Drive, Suite 240, Auburn, CA 95603.</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Sacramento Metropolitan Air Quality Management District, 777 12th Street, Third Floor, Sacramento, CA 95814-1908.</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San Diego County Air Pollution Control District, 10124 Old Grove Road, San Diego, CA 92131-1649.</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San Joaquin Valley Air Pollution Control District, 1990 E. Gettysburg, Fresno, CA 93726.</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San Luis Obispo County Air Pollution Control District, 3433 Roberto Court, San Luis Obispo, CA 93401-7126.</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Santa Barbara County Air Pollution Control District, 260 North San Antonio Road, Suite A, Santa Barbara, CA 93110-1315.</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Shasta County Air Quality Management District, 1855 Placer Street, Suite 101, Redding, CA 96001-1759.</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Siskiyou County Air Pollution Control District, 525 So. Foothill Drive, Yreka, CA 96097-3036.</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South Coast Air Quality Management District, 21865 Copley Drive, Diamond Bar, CA 91765-4182.</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Tehama County Air Pollution Control District, P.O. Box 8069 (1750 Walnut Street), Red Bluff, CA 96080-0038.</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Tuolumne County Air Pollution Control District, 22365 Airport, Columbia, CA 95310.</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Ventura County Air Pollution Control District, 669 County Square Drive, 2nd Floor, Ventura, CA 93003-5417.</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Yolo-Solano Air Quality Management District, 1947 Galileo Court, Suite 103, Davis, CA 95616-4882.</w:t>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t>Note:</w:t>
      </w:r>
      <w:r w:rsidRPr="007E5CFA">
        <w:rPr>
          <w:rFonts w:ascii="Arial" w:eastAsia="Times New Roman" w:hAnsi="Arial" w:cs="Arial"/>
          <w:sz w:val="20"/>
          <w:szCs w:val="20"/>
        </w:rPr>
        <w:t xml:space="preserve"> For tables listing the delegation status of agencies in Region IX, see paragraph (d)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(G) State of Colorado, Department of Public Health and Environment, 4300 Cherry Creek Drive South, Denver, CO 80222-1530. </w:t>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t>Note:</w:t>
      </w:r>
      <w:r w:rsidRPr="007E5CFA">
        <w:rPr>
          <w:rFonts w:ascii="Arial" w:eastAsia="Times New Roman" w:hAnsi="Arial" w:cs="Arial"/>
          <w:sz w:val="20"/>
          <w:szCs w:val="20"/>
        </w:rPr>
        <w:t xml:space="preserve"> For a table listing Region VIII's NSPS delegation status, see paragraph (c)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(H) State of Connecticut, Bureau of Air Management, Department of Environmental Protection, State Office Building, 165 Capitol Avenue, Hartford, CT 06106.</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State of Delaware, Department of Natural Resources &amp; Environmental Control, 89 Kings Highway, P.O. Box 1401, Dover, Delaware 19903.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(J) District of Columbia, Department of Public Health, Air Quality Division, 51 N Street, NE., Washington, DC 20002.</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(K) State of Florida: Florida Department of Environmental Protection, Division of Air Resources Management, 2600 Blair Stone Road, MS 5500, Tallahassee, Florida 32399-2400.</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(L) State of Georgia: Georgia Department of Natural Resources, Environmental Protection Division, Air Protection Branch, 4244 International Parkway, Suite 120, Atlanta, Georgia 30354.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(M) Hawaii:</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Clean Air Branch, Hawaii Department of Health, 919 Ala Moana Blvd., Suite 203, Honolulu, HI 96814.</w:t>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t>Note:</w:t>
      </w:r>
      <w:r w:rsidRPr="007E5CFA">
        <w:rPr>
          <w:rFonts w:ascii="Arial" w:eastAsia="Times New Roman" w:hAnsi="Arial" w:cs="Arial"/>
          <w:sz w:val="20"/>
          <w:szCs w:val="20"/>
        </w:rPr>
        <w:t xml:space="preserve"> For tables listing the delegation status of agencies in Region IX, see paragraph (d)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(N) State of Idaho, Department of Health and Welfare, Statehouse, Boise, ID 83701.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(O) State of Illinois: Illinois Environmental Protection Agency, 1021 North Grand Avenue East, Springfield, Illinois 62794.</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(P) State of Indiana: Indiana Department of Environmental Management, Office of Air Quality, 100 North Senate Avenue, Indianapolis, Indiana 46204.</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(Q) State of Iowa: Iowa Department of Natural Resources, Environmental Protection Division, Air Quality Bureau, 7900 Hickman Road, Suite 1, Urbandale, IA 50322.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(R) State of Kansas: Kansas Department of Health and Environment, Bureau of Air and Radiation, 1000 S.W. Jackson, Suite 310, Topeka, KS 66612-1366.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(S) Commonwealth of Kentucky: Commonwealth of Kentucky, Energy and Environment Cabinet, Department of Environmental Protection, Division for Air Quality, 200 Fair Oaks Lane, 1st Floor, Frankfort, Kentucky 40610-1403.</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Louisville Metro Air Pollution Control District, 850 Barret Avenue, Louisville, Kentucky 40204.</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(T) State Louisiana: Louisiana Department of Environmental Quality, P.O. Box 4301, Baton Rouge, Louisiana 70821-4301. For a list of delegated standards for Louisiana (excluding Indian country), see paragraph (e</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 xml:space="preserve">2) of this section.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(U) State of Maine, Bureau of Air Quality Control, Department of Environmental Protection, State House, Station No. 17, Augusta, ME 04333.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 State of Maryland, Department of the Environment, 1800 Washington Boulevard, Suite 705, Baltimore, Maryland 21230.</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(W) Commonwealth of Massachusetts, Division of Air Quality Control, Department of Environmental Protection, One Winter Street, 7th floor, Boston, MA 02108.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(X) State of Michigan: Michigan Department of Natural Resources and Environment, Air Quality Division, P.O. Box 30028, Lansing, Michigan 48909.</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 xml:space="preserve">(Y) State of Minnesota: Minnesota Pollution Control Agency, Division of Air Quality, 520 Lafayette Road North, St. Paul, Minnesota 55155.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(Z) State of Mississippi: Hand Deliver or Courier: Mississippi Department of Environmental Quality, Office of Pollution Control, Air Division, 515 East Amite Street, Jackson, Mississippi 39201, Mailing Address: Mississippi Department of Environmental Quality, Office of Pollution Control, Air Division, P.O. Box 2261, Jackson, Mississippi 39225.</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(AA) State of Missouri: Missouri Department of Natural Resources, Division of Environmental Quality, P.O. Box 176, Jefferson City, MO 65102.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(BB) State of Montana, Department of Environmental Quality, 1520 E. 6th Ave., PO Box 200901, Helena, MT 59620-0901.</w:t>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t>Note:</w:t>
      </w:r>
      <w:r w:rsidRPr="007E5CFA">
        <w:rPr>
          <w:rFonts w:ascii="Arial" w:eastAsia="Times New Roman" w:hAnsi="Arial" w:cs="Arial"/>
          <w:sz w:val="20"/>
          <w:szCs w:val="20"/>
        </w:rPr>
        <w:t xml:space="preserve"> For a table listing Region VIII's NSPS delegation status, see paragraph (c)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(CC) State of Nebraska, Nebraska Department of Environmental Control, P.O. Box 94877, State House Station, Lincoln, NE 68509. </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Lincoln-Lancaster County Health Department, Division of Environmental Health, 2200 St. Marys Avenue, Lincoln, NE 68502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(DD) Nevada:</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Nevada Division of Environmental Protection, 901 South Stewart Street, Suite 4001, Carson City, NV 89701-5249.</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Clark County Department of Air Quality and Environmental Management, 500 S. Grand Central Parkway, 1st Floor, P.O. Box 555210, Las Vegas, NV 89155-5210.</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 xml:space="preserve">Washoe County Health District, Air Quality Management Division, 1001 E. 9th Street, Building </w:t>
      </w:r>
      <w:proofErr w:type="gramStart"/>
      <w:r w:rsidRPr="007E5CFA">
        <w:rPr>
          <w:rFonts w:ascii="Arial" w:eastAsia="Times New Roman" w:hAnsi="Arial" w:cs="Arial"/>
          <w:sz w:val="20"/>
          <w:szCs w:val="20"/>
        </w:rPr>
        <w:t>A</w:t>
      </w:r>
      <w:proofErr w:type="gramEnd"/>
      <w:r w:rsidRPr="007E5CFA">
        <w:rPr>
          <w:rFonts w:ascii="Arial" w:eastAsia="Times New Roman" w:hAnsi="Arial" w:cs="Arial"/>
          <w:sz w:val="20"/>
          <w:szCs w:val="20"/>
        </w:rPr>
        <w:t>, Suite 115A, Reno, NV 89520.</w:t>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t>Note:</w:t>
      </w:r>
      <w:r w:rsidRPr="007E5CFA">
        <w:rPr>
          <w:rFonts w:ascii="Arial" w:eastAsia="Times New Roman" w:hAnsi="Arial" w:cs="Arial"/>
          <w:sz w:val="20"/>
          <w:szCs w:val="20"/>
        </w:rPr>
        <w:t xml:space="preserve"> For tables listing the delegation status of agencies in Region IX, see paragraph (d)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(EE) State of New Hampshire, Air Resources Division, Department of Environmental Services, 64 North Main Street, Caller Box 2033, Concord, NH 03302-2033.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(FF) State of New Jersey: New Jersey Department of Environmental Protection, Division of Environmental Quality, Enforcement Element, John Fitch Plaza, CN-027, Trenton, NJ 08625.</w:t>
      </w:r>
    </w:p>
    <w:p w:rsid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The following table lists the specific source and pollutant categories that have been delegated to the states in Region II. The (X) symbol is used to indicate each category that has been delegated.</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7"/>
        <w:gridCol w:w="5807"/>
        <w:gridCol w:w="830"/>
        <w:gridCol w:w="641"/>
        <w:gridCol w:w="838"/>
        <w:gridCol w:w="941"/>
      </w:tblGrid>
      <w:tr w:rsidR="007E5CFA" w:rsidRPr="007E5CFA" w:rsidTr="007E5CF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State</w:t>
            </w:r>
          </w:p>
        </w:tc>
      </w:tr>
      <w:tr w:rsidR="007E5CFA" w:rsidRPr="007E5CFA" w:rsidTr="007E5CF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New Jersey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New York</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Puerto Rico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Virgin Islands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Fossil-Fuel Fired Steam Generators for Which Construction Commenced After August 17, 1971 (Steam Generators and Lignite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for Which Construction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Refineries—(All Categories)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Constructed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Constructed After May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Brass and Bronze Ingot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Iron and Steel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97"/>
        <w:gridCol w:w="8191"/>
        <w:gridCol w:w="164"/>
        <w:gridCol w:w="164"/>
        <w:gridCol w:w="164"/>
        <w:gridCol w:w="164"/>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Granular Triple Superphosphate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Ferroally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Arc Furnaces and Argon-Oxygen Decarburization Vessels in Steel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Lime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 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Automobile and Light-Duty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Volatile Organic Compounds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Dry Clearners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Onshore Natural Gas Processing Plants; SO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892"/>
        <w:gridCol w:w="7734"/>
        <w:gridCol w:w="65"/>
        <w:gridCol w:w="294"/>
        <w:gridCol w:w="294"/>
        <w:gridCol w:w="65"/>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(GG) State of New Mexico: New Mexico Environment Department, 1190 St. Francis Drive, P.O. Box 26110, Santa Fe, New Mexico 87502. Note: For a list of delegated standards for New Mexico (excluding Bernalillo County and Indian country), see paragraph (e</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 xml:space="preserve">1) of this section.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Albuquerque-Bernalillo County Air Quality Control Board, c/o Environmental Health Department, P.O. Box 1293, Albuquerque, New Mexico 87103.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(ii) [Reserved]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(HH) New York: New York State Department of Environmental Conservation, 50 Wolf Road Albany, New York 12233, </w:t>
      </w:r>
      <w:proofErr w:type="gramStart"/>
      <w:r w:rsidRPr="007E5CFA">
        <w:rPr>
          <w:rFonts w:ascii="Arial" w:eastAsia="Times New Roman" w:hAnsi="Arial" w:cs="Arial"/>
          <w:sz w:val="20"/>
          <w:szCs w:val="20"/>
        </w:rPr>
        <w:t>attention</w:t>
      </w:r>
      <w:proofErr w:type="gramEnd"/>
      <w:r w:rsidRPr="007E5CFA">
        <w:rPr>
          <w:rFonts w:ascii="Arial" w:eastAsia="Times New Roman" w:hAnsi="Arial" w:cs="Arial"/>
          <w:sz w:val="20"/>
          <w:szCs w:val="20"/>
        </w:rPr>
        <w:t xml:space="preserve">: Division of Air Resources.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State of North Carolina: North Carolina Department of Environment and Natural Resources, Division of Air Quality, 1641 Mail Service Center, Raleigh, North Carolina 27699-1641 or local agencies, Forsyth County Environmental Affairs, 201 North Chestnut Street, Winston-Salem, North Carolina 27101 or Forsyth County Air Quality Section, 537 North Spruce Street, Winston-Salem, North Carolina 27101; Mecklenburg County Land Use &amp; Environmental Services Agency, Air Quality, 700 N. Tryon St., Suite 205, Charlotte, North Carolina 28202-2236; Western North Carolina Regional Air Quality Agency, 49 Mount Carmel Road, Asheville, North Carolina 28806.</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(JJ) State of North Dakota, Division of Air Quality, North Dakota Department of Health, P.O. Box 5520, Bismarck, ND 58506-5520.</w:t>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t>Note:</w:t>
      </w:r>
      <w:r w:rsidRPr="007E5CFA">
        <w:rPr>
          <w:rFonts w:ascii="Arial" w:eastAsia="Times New Roman" w:hAnsi="Arial" w:cs="Arial"/>
          <w:sz w:val="20"/>
          <w:szCs w:val="20"/>
        </w:rPr>
        <w:t xml:space="preserve"> For a table listing Region VIII's NSPS delegation status, see paragraph (c)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(KK) State of Ohio:</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Medina, Summit and Portage Counties; Director, Akron Regional Air Quality Management District, 146 South High Street, Room 904, Akron, OH 44308.</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Stark County; Director, Canton City Health Department, Air Pollution Control Division, 420 Market Avenue North, Canton, Ohio 44702-1544.</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(iii) Butler, Clermont, Hamilton, and Warren Counties; Director, Hamilton County Department of Environmental Services, 250 William Howard Taft Road, Cincinnati, Ohio 45219-2660.</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(iv) Cuyahoga County; Commissioner, Cleveland Department of Public Health, Division of Air Quality, 75 Erieview Plaza 2nd Floor, Cleveland, Ohio 44114.</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 Clark, Darke, Greene, Miami, Montgomery, and Preble Counties; Director, Regional Air Pollution Control Agency, 117 South Main Street, Dayton, Ohio 45422-1280.</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(vi) Lucas County and the City of Rossford (in Wood County); Director, City of Toledo, Division of Environmental Services, 348 South Erie Street, Toledo, OH 43604.</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(vii) Adams, Brown, Lawrence, and Scioto Counties; Portsmouth Local Air Agency, 605 Washington Street, Third Floor, Portsmouth, OH 45662.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(ix) Ashtabula, Caroll, Colombiana, Holmes, Lorain, and Wayne Counties; Ohio Environmental Protection Agency, Northeast District Office, Air Pollution Unit, 2110 East Aurora Road, Twinsburg, OH 44087.</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(x) 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(xi) Champaign, Clinton, Highland, Logan, and Shelby Counties; Ohio Environmental Protection Agency, Southwest District Office, Air Pollution Unit, 401 East Fifth Street, Dayton, Ohio 45402-2911.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(xii) Delaware, Fairfield, Fayette, Franklin, Knox, Licking, Madison, Morrow, Pickaway, and Union Counties; Ohio Environmental Protection Agency, Central District Office, Air Pollution control, 50 West Town Street, Suite 700, Columbus, Ohio 43215.</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(xiii) Geauga and Lake Counties; Lake County General Health District, Air Pollution Control, 33 Mill Street, Painesville, OH 44077.</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(xiv) Mahoning and Trumbull Counties; Mahoning-Trumbull Air Pollution Control Agency, 345 Oak Hill Avenue, Suite 200, Youngstown, OH 44502.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(LL) State of Oklahoma, Oklahoma State Department of Health, Air Quality Service, P.O. Box 53551, Oklahoma City, OK 73152.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Oklahoma City and County: Director, Oklahoma City-County Health Department, 921 Northeast 23rd Street, Oklahoma City, OK 73105.</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Tulsa County: Tulsa City-County Health Department, 4616 East Fifteenth Street, Tulsa, OK 74112.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(MM) State of Oregon. (i) Oregon Department of Environmental Quality (ODEQ), 811 SW Sixth Avenue, Portland, OR 97204-1390, </w:t>
      </w:r>
      <w:r w:rsidRPr="007E5CFA">
        <w:rPr>
          <w:rFonts w:ascii="Arial" w:eastAsia="Times New Roman" w:hAnsi="Arial" w:cs="Arial"/>
          <w:i/>
          <w:iCs/>
          <w:sz w:val="20"/>
          <w:szCs w:val="20"/>
        </w:rPr>
        <w:t>http://www.deq.state.or.us.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(ii) Lane Regional Air Pollution Authority (LRAPA), 1010 Main Street, Springfield, Oregon 97477, </w:t>
      </w:r>
      <w:r w:rsidRPr="007E5CFA">
        <w:rPr>
          <w:rFonts w:ascii="Arial" w:eastAsia="Times New Roman" w:hAnsi="Arial" w:cs="Arial"/>
          <w:i/>
          <w:iCs/>
          <w:sz w:val="20"/>
          <w:szCs w:val="20"/>
        </w:rPr>
        <w:t>http://www.lrapa.org.</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(NN)(i) City of Philadelphia, Department of Public Health, Air Management Services, 321 University Avenue, Philadelphia, Pennsylvania 19104.</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Commonwealth of Pennsylvania, Department of Environmental Protection, Bureau of Air Quality Control, P.O. Box 8468, 400 Market Street, Harrisburg, Pennsylvania 17105.</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(iii) Allegheny County Health Department, Bureau of Environmental Quality, Division of Air Quality, 301 39th Street, Pittsburgh, Pennsylvania 15201.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(OO) State of Rhode Island, Division of Air and Hazardous Materials, Department of Environmental Management, 291 Promenade Street, Providence, RI 02908.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(PP) State of South Carolina: South Carolina Department of Health and Environmental Control, 2600 Bull Street, Columbia, South Carolina 29201.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(QQ) State of South Dakota, Air Quality Program, Department of Environment and Natural Resources, Joe Foss Building, 523 East Capitol, Pierre, SD 57501-3181.</w:t>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t>Note:</w:t>
      </w:r>
      <w:r w:rsidRPr="007E5CFA">
        <w:rPr>
          <w:rFonts w:ascii="Arial" w:eastAsia="Times New Roman" w:hAnsi="Arial" w:cs="Arial"/>
          <w:sz w:val="20"/>
          <w:szCs w:val="20"/>
        </w:rPr>
        <w:t xml:space="preserve"> For a table listing Region VIII's NSPS delegation status, see paragragh (c)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(RR) State of Tennessee: Tennessee Department of Environment and Conservation, Division of Air Pollution Control, 401 Church Street, 9th Floor, L&amp;C Annex, Nashville, Tennessee 37243-1531.</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Knox County Air Quality Management—Department of Public Health, 140 Dameron Avenue, Knoxville, TN 37917.</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Air Pollution Control Bureau, Metropolitan Health Department, 311 23rd Avenue North, Nashville, TN 37203.</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Chattanooga-Hamilton County Air Pollution Control Bureau, 6125 Preservation Drive, Chattanooga, TN 37416.</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Memphis-Shelby County Health Department—Air Pollution Control Program, 814 Jefferson Avenue, Memphis, TN 38105.</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(SS) State of Texas, Texas Air Control Board, 6330 Highway 290 East, Austin, TX 78723.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(TT) State of Utah, Division of Air Quality, Department of Environmental Quality, P.O. Box 144820, Salt Lake City, UT 84114-4820.</w:t>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t>Note:</w:t>
      </w:r>
      <w:r w:rsidRPr="007E5CFA">
        <w:rPr>
          <w:rFonts w:ascii="Arial" w:eastAsia="Times New Roman" w:hAnsi="Arial" w:cs="Arial"/>
          <w:sz w:val="20"/>
          <w:szCs w:val="20"/>
        </w:rPr>
        <w:t xml:space="preserve"> For a table listing Region VIII's NSPS delegation status, see paragraph (c)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(UU) State of Vermont, Air Pollution Control Division, Agency of Natural Resources, Building 3 South, 103 South Main Street, Waterbury, VT 05676.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(VV) Commonwealth of Virginia, Department of Environmental Quality, 629 East Main Street, Richmond, Virginia 23219.</w:t>
      </w:r>
    </w:p>
    <w:p w:rsidR="007E5CFA" w:rsidRDefault="007E5CFA">
      <w:pPr>
        <w:rPr>
          <w:rFonts w:ascii="Arial" w:eastAsia="Times New Roman" w:hAnsi="Arial" w:cs="Arial"/>
          <w:sz w:val="20"/>
          <w:szCs w:val="20"/>
        </w:rPr>
      </w:pPr>
      <w:r>
        <w:rPr>
          <w:rFonts w:ascii="Arial" w:eastAsia="Times New Roman" w:hAnsi="Arial" w:cs="Arial"/>
          <w:sz w:val="20"/>
          <w:szCs w:val="20"/>
        </w:rPr>
        <w:br w:type="page"/>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 xml:space="preserve">(WW) </w:t>
      </w:r>
      <w:r w:rsidRPr="007E5CFA">
        <w:rPr>
          <w:rFonts w:ascii="Arial" w:eastAsia="Times New Roman" w:hAnsi="Arial" w:cs="Arial"/>
          <w:i/>
          <w:iCs/>
          <w:sz w:val="20"/>
          <w:szCs w:val="20"/>
        </w:rPr>
        <w:t>State of Washington.</w:t>
      </w:r>
      <w:r w:rsidRPr="007E5CFA">
        <w:rPr>
          <w:rFonts w:ascii="Arial" w:eastAsia="Times New Roman" w:hAnsi="Arial" w:cs="Arial"/>
          <w:sz w:val="20"/>
          <w:szCs w:val="20"/>
        </w:rPr>
        <w:t xml:space="preserve"> (i) Washington State Department of Ecology (Ecology), P.O. Box 47600, Olympia, WA 98504-7600, </w:t>
      </w:r>
      <w:r w:rsidRPr="007E5CFA">
        <w:rPr>
          <w:rFonts w:ascii="Arial" w:eastAsia="Times New Roman" w:hAnsi="Arial" w:cs="Arial"/>
          <w:i/>
          <w:iCs/>
          <w:sz w:val="20"/>
          <w:szCs w:val="20"/>
        </w:rPr>
        <w:t>http://www.ecy.wa.gov/</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(ii) Benton Clean Air Authority (BCAA), 650 George Washington Way, Richland, WA 99352-4289, </w:t>
      </w:r>
      <w:r w:rsidRPr="007E5CFA">
        <w:rPr>
          <w:rFonts w:ascii="Arial" w:eastAsia="Times New Roman" w:hAnsi="Arial" w:cs="Arial"/>
          <w:i/>
          <w:iCs/>
          <w:sz w:val="20"/>
          <w:szCs w:val="20"/>
        </w:rPr>
        <w:t>http://www.bcaa.net/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(iii) Northwest Air Pollution Control Authority (NWAPA), 1600 South Second St., Mount Vernon, WA 98273-5202, </w:t>
      </w:r>
      <w:r w:rsidRPr="007E5CFA">
        <w:rPr>
          <w:rFonts w:ascii="Arial" w:eastAsia="Times New Roman" w:hAnsi="Arial" w:cs="Arial"/>
          <w:i/>
          <w:iCs/>
          <w:sz w:val="20"/>
          <w:szCs w:val="20"/>
        </w:rPr>
        <w:t>http://www.nwair.org/</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roofErr w:type="gramStart"/>
      <w:r w:rsidRPr="007E5CFA">
        <w:rPr>
          <w:rFonts w:ascii="Arial" w:eastAsia="Times New Roman" w:hAnsi="Arial" w:cs="Arial"/>
          <w:sz w:val="20"/>
          <w:szCs w:val="20"/>
        </w:rPr>
        <w:t>(iv) Olympic</w:t>
      </w:r>
      <w:proofErr w:type="gramEnd"/>
      <w:r w:rsidRPr="007E5CFA">
        <w:rPr>
          <w:rFonts w:ascii="Arial" w:eastAsia="Times New Roman" w:hAnsi="Arial" w:cs="Arial"/>
          <w:sz w:val="20"/>
          <w:szCs w:val="20"/>
        </w:rPr>
        <w:t xml:space="preserve"> Regional Clean Air Agency (ORCAA), 909 Sleater-Kinney Road S.E., Suite 1, Lacey, WA 98503-1128, </w:t>
      </w:r>
      <w:r w:rsidRPr="007E5CFA">
        <w:rPr>
          <w:rFonts w:ascii="Arial" w:eastAsia="Times New Roman" w:hAnsi="Arial" w:cs="Arial"/>
          <w:i/>
          <w:iCs/>
          <w:sz w:val="20"/>
          <w:szCs w:val="20"/>
        </w:rPr>
        <w:t>http://www.orcaa.org/</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(v) Puget Sound Clean Air Agency (PSCAA), 110 Union Street, Suite 500, Seattle, WA 98101-2038, </w:t>
      </w:r>
      <w:r w:rsidRPr="007E5CFA">
        <w:rPr>
          <w:rFonts w:ascii="Arial" w:eastAsia="Times New Roman" w:hAnsi="Arial" w:cs="Arial"/>
          <w:i/>
          <w:iCs/>
          <w:sz w:val="20"/>
          <w:szCs w:val="20"/>
        </w:rPr>
        <w:t>http://www.pscleanair.org/</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(vi) Spokane County Air Pollution Control Authority (SCAPCA), West 1101 College, Suite 403, Spokane, WA 99201, </w:t>
      </w:r>
      <w:r w:rsidRPr="007E5CFA">
        <w:rPr>
          <w:rFonts w:ascii="Arial" w:eastAsia="Times New Roman" w:hAnsi="Arial" w:cs="Arial"/>
          <w:i/>
          <w:iCs/>
          <w:sz w:val="20"/>
          <w:szCs w:val="20"/>
        </w:rPr>
        <w:t>http://www.scapca.org/</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(vii) Southwest Clean Air Agency (SWCAA), 1308 NE. 134th St., Vancouver, WA 98685-2747, </w:t>
      </w:r>
      <w:r w:rsidRPr="007E5CFA">
        <w:rPr>
          <w:rFonts w:ascii="Arial" w:eastAsia="Times New Roman" w:hAnsi="Arial" w:cs="Arial"/>
          <w:i/>
          <w:iCs/>
          <w:sz w:val="20"/>
          <w:szCs w:val="20"/>
        </w:rPr>
        <w:t>http://www.swcleanair.org/</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(viii) Yakima Regional Clean Air Authority (YRCAA), 6 South 2nd Street, Suite 1016, Yakima, WA 98901, </w:t>
      </w:r>
      <w:r w:rsidRPr="007E5CFA">
        <w:rPr>
          <w:rFonts w:ascii="Arial" w:eastAsia="Times New Roman" w:hAnsi="Arial" w:cs="Arial"/>
          <w:i/>
          <w:iCs/>
          <w:sz w:val="20"/>
          <w:szCs w:val="20"/>
        </w:rPr>
        <w:t>http://co.yakima.wa.us/cleanair/default.htm</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(ix) The following table lists the delegation status of the New Source Performance Standards for the State of Washington. An “X” indicates the subpart has been delegated, subject to all the conditions and limitations set forth in Federal law and the letters granting delegation. Some authorities cannot be delegated and are retained by EPA. Refer to the letters granting delegation for a discussion of these retained authorities. The dates noted at the end of the table indicate the effective dates of Federal rules that have been delegated. Authority for implementing and enforcing any amendments made to these rules after these effective dates are not delegated. </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 xml:space="preserve">NSPS Subparts Delegated to Washington Air Agencies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666"/>
        <w:gridCol w:w="881"/>
        <w:gridCol w:w="681"/>
        <w:gridCol w:w="858"/>
        <w:gridCol w:w="836"/>
        <w:gridCol w:w="803"/>
        <w:gridCol w:w="947"/>
        <w:gridCol w:w="858"/>
        <w:gridCol w:w="814"/>
      </w:tblGrid>
      <w:tr w:rsidR="007E5CFA" w:rsidRPr="007E5CFA" w:rsidTr="007E5CF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Subpart</w:t>
            </w:r>
            <w:r w:rsidRPr="007E5CFA">
              <w:rPr>
                <w:rFonts w:ascii="Arial" w:eastAsia="Times New Roman" w:hAnsi="Arial" w:cs="Arial"/>
                <w:b/>
                <w:bCs/>
                <w:sz w:val="20"/>
                <w:szCs w:val="20"/>
                <w:vertAlign w:val="superscript"/>
              </w:rPr>
              <w:t>1</w:t>
            </w:r>
          </w:p>
        </w:tc>
        <w:tc>
          <w:tcPr>
            <w:tcW w:w="0" w:type="auto"/>
            <w:gridSpan w:val="8"/>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Washington </w:t>
            </w:r>
          </w:p>
        </w:tc>
      </w:tr>
      <w:tr w:rsidR="007E5CFA" w:rsidRPr="007E5CFA" w:rsidTr="007E5CF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Ecology</w:t>
            </w:r>
            <w:r w:rsidRPr="007E5CFA">
              <w:rPr>
                <w:rFonts w:ascii="Arial" w:eastAsia="Times New Roman" w:hAnsi="Arial" w:cs="Arial"/>
                <w:b/>
                <w:bCs/>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BCAA</w:t>
            </w:r>
            <w:r w:rsidRPr="007E5CFA">
              <w:rPr>
                <w:rFonts w:ascii="Arial" w:eastAsia="Times New Roman" w:hAnsi="Arial" w:cs="Arial"/>
                <w:b/>
                <w:bCs/>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NWAPA</w:t>
            </w:r>
            <w:r w:rsidRPr="007E5CFA">
              <w:rPr>
                <w:rFonts w:ascii="Arial" w:eastAsia="Times New Roman" w:hAnsi="Arial" w:cs="Arial"/>
                <w:b/>
                <w:bCs/>
                <w:sz w:val="20"/>
                <w:szCs w:val="20"/>
                <w:vertAlign w:val="superscript"/>
              </w:rPr>
              <w:t>4</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ORCAA</w:t>
            </w:r>
            <w:r w:rsidRPr="007E5CFA">
              <w:rPr>
                <w:rFonts w:ascii="Arial" w:eastAsia="Times New Roman" w:hAnsi="Arial" w:cs="Arial"/>
                <w:b/>
                <w:bCs/>
                <w:sz w:val="20"/>
                <w:szCs w:val="20"/>
                <w:vertAlign w:val="superscript"/>
              </w:rPr>
              <w:t>5</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PSCAA</w:t>
            </w:r>
            <w:r w:rsidRPr="007E5CFA">
              <w:rPr>
                <w:rFonts w:ascii="Arial" w:eastAsia="Times New Roman" w:hAnsi="Arial" w:cs="Arial"/>
                <w:b/>
                <w:bCs/>
                <w:sz w:val="20"/>
                <w:szCs w:val="20"/>
                <w:vertAlign w:val="superscript"/>
              </w:rPr>
              <w:t>6</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SCAPCA</w:t>
            </w:r>
            <w:r w:rsidRPr="007E5CFA">
              <w:rPr>
                <w:rFonts w:ascii="Arial" w:eastAsia="Times New Roman" w:hAnsi="Arial" w:cs="Arial"/>
                <w:b/>
                <w:bCs/>
                <w:sz w:val="20"/>
                <w:szCs w:val="20"/>
                <w:vertAlign w:val="superscript"/>
              </w:rPr>
              <w:t>7</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SWCAA</w:t>
            </w:r>
            <w:r w:rsidRPr="007E5CFA">
              <w:rPr>
                <w:rFonts w:ascii="Arial" w:eastAsia="Times New Roman" w:hAnsi="Arial" w:cs="Arial"/>
                <w:b/>
                <w:bCs/>
                <w:sz w:val="20"/>
                <w:szCs w:val="20"/>
                <w:vertAlign w:val="superscript"/>
              </w:rPr>
              <w:t>8</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YRCAA</w:t>
            </w:r>
            <w:r w:rsidRPr="007E5CFA">
              <w:rPr>
                <w:rFonts w:ascii="Arial" w:eastAsia="Times New Roman" w:hAnsi="Arial" w:cs="Arial"/>
                <w:b/>
                <w:bCs/>
                <w:sz w:val="20"/>
                <w:szCs w:val="20"/>
                <w:vertAlign w:val="superscript"/>
              </w:rPr>
              <w:t>9</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   Adoption and Submittal of State Plans for Designated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8032"/>
        <w:gridCol w:w="164"/>
        <w:gridCol w:w="164"/>
        <w:gridCol w:w="164"/>
        <w:gridCol w:w="164"/>
        <w:gridCol w:w="164"/>
        <w:gridCol w:w="164"/>
        <w:gridCol w:w="164"/>
        <w:gridCol w:w="164"/>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Cb   Large Municipal Waste Combustors that are Constructed on or before September 20, 1994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   Municipal Solid Waste Landfills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Cd   Sulfuric Acid Production Units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Ce   Hospital/Medical/Infectious Waste Incinerators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   Fossil-Fuel-Fired Steam Generators for which Construction is Commenced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   Electric Utility Steam Generating Units for which Construction is Commenced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   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   Municipal Waste Combustors for which Construction is Commenced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   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   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   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   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   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   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Kb   VOC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   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   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   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Na   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   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   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8032"/>
        <w:gridCol w:w="164"/>
        <w:gridCol w:w="164"/>
        <w:gridCol w:w="164"/>
        <w:gridCol w:w="164"/>
        <w:gridCol w:w="164"/>
        <w:gridCol w:w="164"/>
        <w:gridCol w:w="164"/>
        <w:gridCol w:w="164"/>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Q   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   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   Primary Aluminum Reduction Plants</w:t>
            </w:r>
            <w:r w:rsidRPr="007E5CFA">
              <w:rPr>
                <w:rFonts w:ascii="Arial" w:eastAsia="Times New Roman" w:hAnsi="Arial" w:cs="Arial"/>
                <w:sz w:val="20"/>
                <w:szCs w:val="20"/>
                <w:vertAlign w:val="superscript"/>
              </w:rPr>
              <w:t>10</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   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   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   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   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   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   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   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   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   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   Kraft Pulp Mills</w:t>
            </w:r>
            <w:r w:rsidRPr="007E5CFA">
              <w:rPr>
                <w:rFonts w:ascii="Arial" w:eastAsia="Times New Roman" w:hAnsi="Arial" w:cs="Arial"/>
                <w:sz w:val="20"/>
                <w:szCs w:val="20"/>
                <w:vertAlign w:val="superscript"/>
              </w:rPr>
              <w:t>11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   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   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   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   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   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   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   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   Automobile and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   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   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   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   Pressure Sensitive Tape and Label Surface Coating Standards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   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   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   Asphalt Processing and Asphalt Roof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   Equipment Leaks of VOC in Synthetic Organic Chemical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   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   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8032"/>
        <w:gridCol w:w="164"/>
        <w:gridCol w:w="164"/>
        <w:gridCol w:w="164"/>
        <w:gridCol w:w="164"/>
        <w:gridCol w:w="164"/>
        <w:gridCol w:w="164"/>
        <w:gridCol w:w="164"/>
        <w:gridCol w:w="164"/>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 xml:space="preserve">AAA   New Residential Wood Heaters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   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   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   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   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   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   VOC Emissions from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   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   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   Onshore Natural Gas Processing: SO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NNN   VOC Emissions from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   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   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QQQ   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RRR   VOCs from Synthetic Organic Chemical Manufacturing Industry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SSS   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   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UUU   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   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   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AAAA   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BBBB   Small Municipal Waste Combustion Units Constructed on or before August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CCCC   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DDDD   Commercial and Industrial Solid Waste Incineration Units that Commenced Construction on or before November 30, 1999 (Emission Guidelines and Compliance Times)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1</w:t>
      </w:r>
      <w:r w:rsidRPr="007E5CFA">
        <w:rPr>
          <w:rFonts w:ascii="Arial" w:eastAsia="Times New Roman" w:hAnsi="Arial" w:cs="Arial"/>
          <w:sz w:val="20"/>
          <w:szCs w:val="20"/>
        </w:rPr>
        <w:t xml:space="preserve">Any authority within any subpart of this part that is not delegable, is not delegated. Please refer to Attachment B to the delegation letters for a listing of the NSPS authorities excluded from delegation. </w:t>
      </w:r>
    </w:p>
    <w:p w:rsidR="007E5CFA" w:rsidRDefault="007E5CFA">
      <w:pPr>
        <w:rPr>
          <w:rFonts w:ascii="Arial" w:eastAsia="Times New Roman" w:hAnsi="Arial" w:cs="Arial"/>
          <w:sz w:val="20"/>
          <w:szCs w:val="20"/>
          <w:vertAlign w:val="superscript"/>
        </w:rPr>
      </w:pPr>
      <w:r>
        <w:rPr>
          <w:rFonts w:ascii="Arial" w:eastAsia="Times New Roman" w:hAnsi="Arial" w:cs="Arial"/>
          <w:sz w:val="20"/>
          <w:szCs w:val="20"/>
          <w:vertAlign w:val="superscript"/>
        </w:rPr>
        <w:br w:type="page"/>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lastRenderedPageBreak/>
        <w:t>2</w:t>
      </w:r>
      <w:r w:rsidRPr="007E5CFA">
        <w:rPr>
          <w:rFonts w:ascii="Arial" w:eastAsia="Times New Roman" w:hAnsi="Arial" w:cs="Arial"/>
          <w:sz w:val="20"/>
          <w:szCs w:val="20"/>
        </w:rPr>
        <w:t xml:space="preserve">Washington State Department of Ecology, for 40 CFR 60.17(h)(1), (h)(2), (h)(3) and 40 CFR part 60, subpart AAAA, as in effect on June 6, 2001; for 40 CFR part 60, subpart CCCC, as in effect on June 1, 2001; and for all other NSPS delegated, as in effect February 20, 2001.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3</w:t>
      </w:r>
      <w:r w:rsidRPr="007E5CFA">
        <w:rPr>
          <w:rFonts w:ascii="Arial" w:eastAsia="Times New Roman" w:hAnsi="Arial" w:cs="Arial"/>
          <w:sz w:val="20"/>
          <w:szCs w:val="20"/>
        </w:rPr>
        <w:t xml:space="preserve">Benton Clean Air Authority, for 40 CFR 60.17(h)(1), (h)(2), (h)(3) and 40 CFR part 60, subpart AAAA, as in effect on June 6, 2001; for 40 CFR part 60, subpart CCCC, as in effect on June 1, 2001; and for all other NSPS delegated, as in effect February 20, 2001.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4</w:t>
      </w:r>
      <w:r w:rsidRPr="007E5CFA">
        <w:rPr>
          <w:rFonts w:ascii="Arial" w:eastAsia="Times New Roman" w:hAnsi="Arial" w:cs="Arial"/>
          <w:sz w:val="20"/>
          <w:szCs w:val="20"/>
        </w:rPr>
        <w:t xml:space="preserve">Northwest Air Pollution Authority, for all NSPS delegated, as in effect on July 1, 2000.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5</w:t>
      </w:r>
      <w:r w:rsidRPr="007E5CFA">
        <w:rPr>
          <w:rFonts w:ascii="Arial" w:eastAsia="Times New Roman" w:hAnsi="Arial" w:cs="Arial"/>
          <w:sz w:val="20"/>
          <w:szCs w:val="20"/>
        </w:rPr>
        <w:t xml:space="preserve">Olympic Regional Clean Air Authority, for 40 CFR 60.17(h)(1), (h)(2), (h)(3) and 40 CFR part 60, subpart AAAA, as in effect on June 6, 2001; for 40 CFR part 60, subpart CCCC, as in effect on June 1, 2001; and for all other NSPS delegated, as in effect February 20, 2001.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6</w:t>
      </w:r>
      <w:r w:rsidRPr="007E5CFA">
        <w:rPr>
          <w:rFonts w:ascii="Arial" w:eastAsia="Times New Roman" w:hAnsi="Arial" w:cs="Arial"/>
          <w:sz w:val="20"/>
          <w:szCs w:val="20"/>
        </w:rPr>
        <w:t xml:space="preserve">Puget Sound Clean Air Authority, for all NSPS delegated, as in effect on July 1, 2002.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7</w:t>
      </w:r>
      <w:r w:rsidRPr="007E5CFA">
        <w:rPr>
          <w:rFonts w:ascii="Arial" w:eastAsia="Times New Roman" w:hAnsi="Arial" w:cs="Arial"/>
          <w:sz w:val="20"/>
          <w:szCs w:val="20"/>
        </w:rPr>
        <w:t xml:space="preserve">Spokane County Air Pollution Control Authority, for 40 CFR 60.17(h)(1), (h)(2), (h)(3) and 40 CFR part 60, subpart AAAA, as in effect on June 6, 2001; for 40 CFR part 60, subpart CCCC, as in effect on June 1, 2001; and for all other NSPS delegated, as in effect February 20, 2001.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8</w:t>
      </w:r>
      <w:r w:rsidRPr="007E5CFA">
        <w:rPr>
          <w:rFonts w:ascii="Arial" w:eastAsia="Times New Roman" w:hAnsi="Arial" w:cs="Arial"/>
          <w:sz w:val="20"/>
          <w:szCs w:val="20"/>
        </w:rPr>
        <w:t xml:space="preserve">Southwest Clean Air Agency, for all NSPS delegated, as in effect on July 1, 2000.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9</w:t>
      </w:r>
      <w:r w:rsidRPr="007E5CFA">
        <w:rPr>
          <w:rFonts w:ascii="Arial" w:eastAsia="Times New Roman" w:hAnsi="Arial" w:cs="Arial"/>
          <w:sz w:val="20"/>
          <w:szCs w:val="20"/>
        </w:rPr>
        <w:t xml:space="preserve">Yakima Regional Clean Air Authority, for 40 CFR 60.17(h)(1), (h)(2), (h)(3) and 40 CFR part 60, subpart AAAA, as in effect on June 6, 2001; for 40 CFR part 60, subpart CCCC, as in effect on June 1, 2001; and for all other NSPS delegated, as in effect February 20, 2001.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10</w:t>
      </w:r>
      <w:r w:rsidRPr="007E5CFA">
        <w:rPr>
          <w:rFonts w:ascii="Arial" w:eastAsia="Times New Roman" w:hAnsi="Arial" w:cs="Arial"/>
          <w:sz w:val="20"/>
          <w:szCs w:val="20"/>
        </w:rPr>
        <w:t xml:space="preserve">Subpart S of this part is not delegated to local agencies in Washington because the Washington State Department of Ecology retains sole authority to regulate Primary Aluminum Plants, pursuant to Washington Administrative Code 173-415-010.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11</w:t>
      </w:r>
      <w:r w:rsidRPr="007E5CFA">
        <w:rPr>
          <w:rFonts w:ascii="Arial" w:eastAsia="Times New Roman" w:hAnsi="Arial" w:cs="Arial"/>
          <w:sz w:val="20"/>
          <w:szCs w:val="20"/>
        </w:rPr>
        <w:t>Subpart BB of this part is not delegated to local agencies in Washington because the Washington State Department of Ecology retains sole authority to regulate Kraft and Sulfite Pulping Mills, pursuant to Washington State Administrative Code 173-405-012 and 173-410-012.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(XX) State of West Virginia, Department of Environmental Protection, Division of Air Quality, 601 57th Street, SE., Charleston, West Virginia 25304.</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(YY) State of Wisconsin: Wisconsin Department of Natural Resouces, 101 South Webster St., P.O. Box 7921, Madison, Wisconsin 53707-7921.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(ZZ) State of Wyoming, Department of Environmental Quality, Air Quality Division, Herschler Building, 122 West 25th Street, Cheyenne, WY 82002.</w:t>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t>Note:</w:t>
      </w:r>
      <w:r w:rsidRPr="007E5CFA">
        <w:rPr>
          <w:rFonts w:ascii="Arial" w:eastAsia="Times New Roman" w:hAnsi="Arial" w:cs="Arial"/>
          <w:sz w:val="20"/>
          <w:szCs w:val="20"/>
        </w:rPr>
        <w:t xml:space="preserve"> For a table listing Region VIII's NSPS delegation status, see paragraph (c)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(AAA) Territory of Guam: Guam Environmental Protection Agency, P.O. Box 22439 GMF, Barrigada, Guam 96921.</w:t>
      </w:r>
    </w:p>
    <w:p w:rsidR="007E5CFA" w:rsidRDefault="007E5CFA">
      <w:pPr>
        <w:rPr>
          <w:rFonts w:ascii="Arial" w:eastAsia="Times New Roman" w:hAnsi="Arial" w:cs="Arial"/>
          <w:smallCaps/>
          <w:sz w:val="20"/>
          <w:szCs w:val="20"/>
        </w:rPr>
      </w:pPr>
      <w:r>
        <w:rPr>
          <w:rFonts w:ascii="Arial" w:eastAsia="Times New Roman" w:hAnsi="Arial" w:cs="Arial"/>
          <w:smallCaps/>
          <w:sz w:val="20"/>
          <w:szCs w:val="20"/>
        </w:rPr>
        <w:br w:type="page"/>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lastRenderedPageBreak/>
        <w:t>Note:</w:t>
      </w:r>
      <w:r w:rsidRPr="007E5CFA">
        <w:rPr>
          <w:rFonts w:ascii="Arial" w:eastAsia="Times New Roman" w:hAnsi="Arial" w:cs="Arial"/>
          <w:sz w:val="20"/>
          <w:szCs w:val="20"/>
        </w:rPr>
        <w:t xml:space="preserve"> For tables listing the delegation status of agencies in Region IX, see paragraph (d)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(BBB) Commonwealth of Puerto Rico: Commonwealth of Puerto Rico Environmental Quality Board, P.O. Box 11488, Santurce, PR 00910, Attention: Air Quality Area Director (see table under §60.4(b</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FF)(1)).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(CCC) U.S. Virgin Islands: U.S. Virgin Islands Department of Conservation and Cultural Affairs, P.O. Box 578, Charlotte Amalie, St. Thomas, VI 00801.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(DDD) American Samoa: American Samoa Environmental Protection Agency, P.O. Box PPA, Pago Pago, American Samoa 96799.</w:t>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t>Note:</w:t>
      </w:r>
      <w:r w:rsidRPr="007E5CFA">
        <w:rPr>
          <w:rFonts w:ascii="Arial" w:eastAsia="Times New Roman" w:hAnsi="Arial" w:cs="Arial"/>
          <w:sz w:val="20"/>
          <w:szCs w:val="20"/>
        </w:rPr>
        <w:t xml:space="preserve"> For tables listing the delegation status of agencies in Region IX, see paragraph (d)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(EEE) Commonwealth of the Northern Mariana Islands: CNMI Division of Environmental Quality, P.O. Box 501304, Saipan, MP 96950.</w:t>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t>Note:</w:t>
      </w:r>
      <w:r w:rsidRPr="007E5CFA">
        <w:rPr>
          <w:rFonts w:ascii="Arial" w:eastAsia="Times New Roman" w:hAnsi="Arial" w:cs="Arial"/>
          <w:sz w:val="20"/>
          <w:szCs w:val="20"/>
        </w:rPr>
        <w:t xml:space="preserve"> For tables listing the delegation status of agencies in Region IX, see paragraph (d)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(c) The following is a table indicating the delegation status of New Source Performance Standards for Region VIII.</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 xml:space="preserve">Delegation Status of New Source Performance Standards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[(NSPS) for Region VIII]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864"/>
        <w:gridCol w:w="425"/>
        <w:gridCol w:w="411"/>
        <w:gridCol w:w="411"/>
        <w:gridCol w:w="397"/>
        <w:gridCol w:w="382"/>
        <w:gridCol w:w="454"/>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MT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ND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UT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WY</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D—Fossil Fuel Fired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Da—Electric Utility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Db—Industrial-Commercial—Institutional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Dc—Industrial-Commercial-Institutional Steam Generators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892"/>
        <w:gridCol w:w="242"/>
        <w:gridCol w:w="242"/>
        <w:gridCol w:w="242"/>
        <w:gridCol w:w="242"/>
        <w:gridCol w:w="242"/>
        <w:gridCol w:w="242"/>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H—Sulfuric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I—Asphalt Concrete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K—Petroleum Storage Vessels (after 6/11/73 &amp; prior to</w:t>
            </w:r>
            <w:r w:rsidRPr="007E5CFA">
              <w:rPr>
                <w:rFonts w:ascii="Arial" w:eastAsia="Times New Roman" w:hAnsi="Arial" w:cs="Arial"/>
                <w:sz w:val="20"/>
                <w:szCs w:val="20"/>
              </w:rPr>
              <w:br/>
              <w:t>   5/19/78)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Ka—Petroleum Storage Vessels (after 5/18/78 &amp; prior to</w:t>
            </w:r>
            <w:r w:rsidRPr="007E5CFA">
              <w:rPr>
                <w:rFonts w:ascii="Arial" w:eastAsia="Times New Roman" w:hAnsi="Arial" w:cs="Arial"/>
                <w:sz w:val="20"/>
                <w:szCs w:val="20"/>
              </w:rPr>
              <w:br/>
              <w:t>   7/23/84)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Kb—Petroleum Storage 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M—Secondary Brass and Bronze Production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N—Primary Emissions from Basic Oxygen Process Furnaces (after 6/11/73)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Na—Secondary Emissions from Basic Oxygen Process Furnaces (after 1/20/83)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AA—Steel Plants: Electric Arc Furnaces (10/21/74-8/17/83)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AAa—Steel Plants: Electric Arc Furnaces and Argon-Oxygen Decarburization Vessels (after 8/7/83)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DD—Grain Elevator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892"/>
        <w:gridCol w:w="242"/>
        <w:gridCol w:w="242"/>
        <w:gridCol w:w="242"/>
        <w:gridCol w:w="242"/>
        <w:gridCol w:w="242"/>
        <w:gridCol w:w="242"/>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GG—Stationary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PP—Ammonium Sulfate Manufacturing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RR—Pressure Sensitive Tape &amp; Label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SS—Industrial Surface Coating: Large Applications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UU—Asphalt Processing &amp;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VV—Synthetic Organic Chemicals Manufacturing: Equipment Leaks of VOC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BBB—Rubber Tires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DDD—VOC Emissions from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FFF—Flexible Vinyl &amp; Urethane Coating &amp;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III—VOC Emissions from the Synthetic Organic Chemical Manufacturing Industry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LLL—Onshore Natural Gas Processing: SO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NNN—VOC Emissions from the Synthetic Organic Chemical Manufacturing Industry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QQQ—VOC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RRR—VOC Emissions from Synthetic Organic Chemistry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892"/>
        <w:gridCol w:w="242"/>
        <w:gridCol w:w="242"/>
        <w:gridCol w:w="242"/>
        <w:gridCol w:w="242"/>
        <w:gridCol w:w="242"/>
        <w:gridCol w:w="242"/>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SSS—Magnetic Tape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TTT—Plastic Parts for Business Machine Coatings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UUU—Calciners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VVV—Polymeric Coating of Supporting Substrates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AAAA-Small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CCCC-Commercial and Industrial Solid Waste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EEEE—Other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Indicates approval of State regulation.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(d) The following tables list the specific part 60 standards that have been delegated unchanged to the air pollution control agencies in Region IX. The (X) symbol is used to indicate each standard that has been delegated. The following provisions of this subpart are not delegated: §§60.4(b), 60.8(b), 60.9, 60.11(b), 60.11(e), 60.13(a), 60.13(d</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2), 60.13(g), 60.13(i).</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w:t>
      </w:r>
      <w:r w:rsidRPr="007E5CFA">
        <w:rPr>
          <w:rFonts w:ascii="Arial" w:eastAsia="Times New Roman" w:hAnsi="Arial" w:cs="Arial"/>
          <w:i/>
          <w:iCs/>
          <w:sz w:val="20"/>
          <w:szCs w:val="20"/>
        </w:rPr>
        <w:t>Arizona.</w:t>
      </w:r>
      <w:r w:rsidRPr="007E5CFA">
        <w:rPr>
          <w:rFonts w:ascii="Arial" w:eastAsia="Times New Roman" w:hAnsi="Arial" w:cs="Arial"/>
          <w:sz w:val="20"/>
          <w:szCs w:val="20"/>
        </w:rPr>
        <w:t xml:space="preserve"> The following table identifies delegations for Arizona:</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Delegation Status for New Source Performance Standards for Arizona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
        <w:gridCol w:w="5947"/>
        <w:gridCol w:w="764"/>
        <w:gridCol w:w="909"/>
        <w:gridCol w:w="719"/>
        <w:gridCol w:w="719"/>
      </w:tblGrid>
      <w:tr w:rsidR="007E5CFA" w:rsidRPr="007E5CFA" w:rsidTr="007E5CF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Air pollution control agency</w:t>
            </w:r>
          </w:p>
        </w:tc>
      </w:tr>
      <w:tr w:rsidR="007E5CFA" w:rsidRPr="007E5CFA" w:rsidTr="007E5CF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Arizona</w:t>
            </w:r>
            <w:r w:rsidRPr="007E5CFA">
              <w:rPr>
                <w:rFonts w:ascii="Arial" w:eastAsia="Times New Roman" w:hAnsi="Arial" w:cs="Arial"/>
                <w:b/>
                <w:bCs/>
                <w:sz w:val="20"/>
                <w:szCs w:val="20"/>
              </w:rPr>
              <w:br/>
              <w:t>DEQ</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Maricopa</w:t>
            </w:r>
            <w:r w:rsidRPr="007E5CFA">
              <w:rPr>
                <w:rFonts w:ascii="Arial" w:eastAsia="Times New Roman" w:hAnsi="Arial" w:cs="Arial"/>
                <w:b/>
                <w:bCs/>
                <w:sz w:val="20"/>
                <w:szCs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Pima</w:t>
            </w:r>
            <w:r w:rsidRPr="007E5CFA">
              <w:rPr>
                <w:rFonts w:ascii="Arial" w:eastAsia="Times New Roman" w:hAnsi="Arial" w:cs="Arial"/>
                <w:b/>
                <w:bCs/>
                <w:sz w:val="20"/>
                <w:szCs w:val="20"/>
              </w:rPr>
              <w:br/>
              <w:t>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Pinal</w:t>
            </w:r>
            <w:r w:rsidRPr="007E5CFA">
              <w:rPr>
                <w:rFonts w:ascii="Arial" w:eastAsia="Times New Roman" w:hAnsi="Arial" w:cs="Arial"/>
                <w:b/>
                <w:bCs/>
                <w:sz w:val="20"/>
                <w:szCs w:val="20"/>
              </w:rPr>
              <w:br/>
              <w:t>County</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97"/>
        <w:gridCol w:w="8391"/>
        <w:gridCol w:w="164"/>
        <w:gridCol w:w="164"/>
        <w:gridCol w:w="164"/>
        <w:gridCol w:w="164"/>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Ec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64"/>
        <w:gridCol w:w="8224"/>
        <w:gridCol w:w="164"/>
        <w:gridCol w:w="164"/>
        <w:gridCol w:w="164"/>
        <w:gridCol w:w="164"/>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Z</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8035"/>
        <w:gridCol w:w="164"/>
        <w:gridCol w:w="164"/>
        <w:gridCol w:w="164"/>
        <w:gridCol w:w="164"/>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FFF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Onshore Natural Gas Processing: SO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843"/>
        <w:gridCol w:w="7610"/>
        <w:gridCol w:w="269"/>
        <w:gridCol w:w="271"/>
        <w:gridCol w:w="179"/>
        <w:gridCol w:w="172"/>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KKKK</w:t>
            </w:r>
          </w:p>
        </w:tc>
        <w:tc>
          <w:tcPr>
            <w:tcW w:w="407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Combustion Turbines</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5"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LLLL</w:t>
            </w:r>
          </w:p>
        </w:tc>
        <w:tc>
          <w:tcPr>
            <w:tcW w:w="407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Sewage Sludge Incineration Units</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5"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9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OOOO</w:t>
            </w:r>
          </w:p>
        </w:tc>
        <w:tc>
          <w:tcPr>
            <w:tcW w:w="407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Crude Oil and Natural Gas Production, Transmission, and Distribution</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5"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9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w:t>
      </w:r>
      <w:r w:rsidRPr="007E5CFA">
        <w:rPr>
          <w:rFonts w:ascii="Arial" w:eastAsia="Times New Roman" w:hAnsi="Arial" w:cs="Arial"/>
          <w:i/>
          <w:iCs/>
          <w:sz w:val="20"/>
          <w:szCs w:val="20"/>
        </w:rPr>
        <w:t>California.</w:t>
      </w:r>
      <w:r w:rsidRPr="007E5CFA">
        <w:rPr>
          <w:rFonts w:ascii="Arial" w:eastAsia="Times New Roman" w:hAnsi="Arial" w:cs="Arial"/>
          <w:sz w:val="20"/>
          <w:szCs w:val="20"/>
        </w:rPr>
        <w:t xml:space="preserve"> The following tables identify delegations for each of the local air pollution control agencies of California.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Delegations for Amador County Air Pollution Control District, Antelope Valley Air Quality Management District, Bay Area Air Quality Management District, and Butte County Air Quality Management District are shown in the following table:</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Delegation Status for New Source Performance Standards for Amador County APCD, Antelope Valley AQMD, Bay Area AQMD, and Butte County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98"/>
        <w:gridCol w:w="4944"/>
        <w:gridCol w:w="978"/>
        <w:gridCol w:w="1020"/>
        <w:gridCol w:w="960"/>
        <w:gridCol w:w="1144"/>
      </w:tblGrid>
      <w:tr w:rsidR="007E5CFA" w:rsidRPr="007E5CFA" w:rsidTr="007E5CF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Air pollution control agency</w:t>
            </w:r>
          </w:p>
        </w:tc>
      </w:tr>
      <w:tr w:rsidR="007E5CFA" w:rsidRPr="007E5CFA" w:rsidTr="007E5CF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Amador</w:t>
            </w:r>
            <w:r w:rsidRPr="007E5CFA">
              <w:rPr>
                <w:rFonts w:ascii="Arial" w:eastAsia="Times New Roman" w:hAnsi="Arial" w:cs="Arial"/>
                <w:b/>
                <w:bCs/>
                <w:sz w:val="20"/>
                <w:szCs w:val="20"/>
              </w:rPr>
              <w:br/>
              <w:t>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Antelope</w:t>
            </w:r>
            <w:r w:rsidRPr="007E5CFA">
              <w:rPr>
                <w:rFonts w:ascii="Arial" w:eastAsia="Times New Roman" w:hAnsi="Arial" w:cs="Arial"/>
                <w:b/>
                <w:bCs/>
                <w:sz w:val="20"/>
                <w:szCs w:val="20"/>
              </w:rPr>
              <w:br/>
              <w:t>Valley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Bay Area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Butte County AQMD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0"/>
        <w:gridCol w:w="7683"/>
        <w:gridCol w:w="361"/>
        <w:gridCol w:w="359"/>
        <w:gridCol w:w="269"/>
        <w:gridCol w:w="262"/>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H</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Hot Mix Asphalt Facilities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Ja</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 for Which Construction, Reconstruction, or Modification Commenced After May 14, 2007</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June 11, 1973, and Prior to May 19, 1978</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May 18, 1978, and Prior to July 23, 1984</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Kb</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Lead Smelters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Brass and Bronze Production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Emissions from Basic Oxygen Process Furnaces for Which Construction is Commenced After June 11, 1973</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Na</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Emissions from Basic Oxygen Process Steelmaking Facilities for Which Construction is Commenced After January 20, 1983</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Sewage Treatment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Copper Smelters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Zinc Smelters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Lead Smelters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Aluminum Reduction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Wet Process Phosphoric Acid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Superphosphoric Acid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Diammonium Phosphate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Triple Superphosphate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Granular Triple Superphosphate Storage Facilities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Coal Preparation and Processing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Ferroalloy Production Facilities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Constructed After October 21, 1974 and On or Before August 17, 1983</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and Argon-Oxygen Decarburization Vessels Constructed After August 7, 1983</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Kraft Pulp Mills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w:t>
            </w:r>
          </w:p>
        </w:tc>
        <w:tc>
          <w:tcPr>
            <w:tcW w:w="4111"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 Manufacturing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0"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4"/>
        <w:gridCol w:w="7707"/>
        <w:gridCol w:w="273"/>
        <w:gridCol w:w="269"/>
        <w:gridCol w:w="269"/>
        <w:gridCol w:w="172"/>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DD</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Grain Elevators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Surface Coating of Metal Furniture</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Lime Manufacturing Plants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Lead-Acid Battery Manufacturing Plants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 Plants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Automobile and Light Duty Trucks Surface Coating Operations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Rock Plants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 Manufacture</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Arts Industry: Publication Rotogravure Printing</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Pressure Sensitive Tape and Label Surface Coating Operations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 Coil Surface Coating</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Processing and Asphalt Roofing Manufacture</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Industry Chemicals Manufacturing</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VVa</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Industry for Which Construction, Reconstruction, or Chemicals Manufacturing Modification Commenced After November 7, 2006</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Beverage Can Surface Coating Industry</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Bulk Gasoline Terminals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Residential Wood Heaters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Rubber Tire Manufacturing Industry</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Compounds (VOC) Emissions from the Polymer Manufacturing Industry</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Flexible Vinyl and Urethane Coating and Printing</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GGGa</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 for Which Construction, Reconstruction, or Modification Commenced After November 7, 2006</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 Production Facilities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the Synthetic Organic Chemical Manufacturing Industry (SOCMI) Air Oxidation Unit Processes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Dry Cleaners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From Onshore Natural Gas Processing Plants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LLL</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Onshore Natural Gas Processing: SO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 xml:space="preserve"> Emissions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MMM</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NNN</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Synthetic Organic Chemical Manufacturing Industry (SOCMI) Distillation Operations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 Plants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Wool Fiberglass Insulation Manufacturing Plants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QQQ</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Petroleum Refinery Wastewater Systems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RRR</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Emissions from Synthetic Organic Chemical Manufacturing Industry (SOCMI) Reactor Processes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SSS</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Magnetic Tape Coating Facilities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Surface Coating of Plastic Parts for Business Machines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UUU</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Calciners and Dryers in Mineral Industries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Polymeric Coating of Supporting Substrates Facilities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Solid Waste Landfills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AAAA</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Municipal Waste Combustion Units for Which Construction is Commenced After August 30, 1999 or for Which Modification or Reconstruction is Commended After June 6, 2001</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CCCC</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EEEE</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GGGG</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HHHH</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IIII</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Compression Ignition Internal Combustion Engines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JJJJ</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Spark Ignition Internal Combustion Engines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KKKK</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Combustion Turbines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LLLL</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Sewage Sludge Incineration Units</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OOOO</w:t>
            </w:r>
          </w:p>
        </w:tc>
        <w:tc>
          <w:tcPr>
            <w:tcW w:w="412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Crude Oil and Natural Gas Production, Transmission, and Distribution</w:t>
            </w:r>
          </w:p>
        </w:tc>
        <w:tc>
          <w:tcPr>
            <w:tcW w:w="14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92"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(ii) [Reserved]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(iii) Delegations for Glenn County Air Pollution Control District, Great Basin Unified Air Pollution Control District, Imperial County Air Pollution Control District, and Kern County Air Pollution Control District are shown in the following table: </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 xml:space="preserve">Delegation Status for New Source Performance Standards for Glenn County APCD, Great Basin Unified APCD, Imperial County APCD, and Kern County APCD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
        <w:gridCol w:w="5098"/>
        <w:gridCol w:w="848"/>
        <w:gridCol w:w="1080"/>
        <w:gridCol w:w="1079"/>
        <w:gridCol w:w="953"/>
      </w:tblGrid>
      <w:tr w:rsidR="007E5CFA" w:rsidRPr="007E5CFA" w:rsidTr="007E5CF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lastRenderedPageBreak/>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Air pollution control agency </w:t>
            </w:r>
          </w:p>
        </w:tc>
      </w:tr>
      <w:tr w:rsidR="007E5CFA" w:rsidRPr="007E5CFA" w:rsidTr="007E5CF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Glenn</w:t>
            </w:r>
            <w:r w:rsidRPr="007E5CFA">
              <w:rPr>
                <w:rFonts w:ascii="Arial" w:eastAsia="Times New Roman" w:hAnsi="Arial" w:cs="Arial"/>
                <w:b/>
                <w:bCs/>
                <w:sz w:val="20"/>
                <w:szCs w:val="20"/>
              </w:rPr>
              <w:br/>
              <w:t xml:space="preserve">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Great Basin Unified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Imperial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Kern County APCD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bl>
    <w:p w:rsidR="007E5CFA" w:rsidRDefault="007E5CFA">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9"/>
        <w:gridCol w:w="7673"/>
        <w:gridCol w:w="361"/>
        <w:gridCol w:w="269"/>
        <w:gridCol w:w="278"/>
        <w:gridCol w:w="164"/>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L</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Lead Smelters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Brass and Bronze Production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Emissions from Basic Oxygen Process Furnaces for Which Construction is Commenced After June 11, 1973</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Na</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Emissions from Basic Oxygen Process Steelmaking Facilities for Which Construction is Commenced After January 20, 1983</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Sewage Treatment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Copper Smelters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Zinc Smelters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Lead Smelters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Aluminum Reduction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Wet Process Phosphoric Acid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Superphosphoric Acid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Diammonium Phosphate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Triple Superphosphate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Granular Triple Superphosphate Storage Facilities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Coal Preparation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Ferroalloy Production Facilities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Constructed After October 21, 1974 and On or Before August 17, 1983</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and Argon-Oxygen Decarburization Vessels Constructed After August 7, 1983</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Kraft pulp Mills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 Manufacturing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Grain Elevators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Surface Coating of Metal Furniture</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Lime Manufacturing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Lead-Acid Battery Manufacturing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Automobile and Light Duty Trucks Surface Coating Operations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Rock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 Manufacture</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Arts Industry: Publication Rotogravure Printing</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RR</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Pressure Sensitive Tape and Label Surface Coating Operations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 Coil Surface Coating</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Processing and Asphalt Roofing Manufacture</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Chemicals Manufacturing Industry</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Beverage Can Surface Coating Industry</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Bulk Gasoline Terminals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Residential Wool Heaters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Rubber Tire Manufacturing Industry</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Compounds (VOC) Emissions from the Polymer Manufacturing Industry</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Flexible Vinyl and Urethane Coating and Printing</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 Production Facilities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the Synthetic Organic Chemical Manufacturing Industry (SOCMI) Air Oxidation Unit Processes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Dry Cleaners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From Onshore Natural Gas Processing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Onshore Natural Gas Processing: SO2 Emissions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MMM</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NNN</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Synthetic Organic Chemical Manufacturing Industry (SOCMI) Distillation Operations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Wool Fiberglass Insulation Manufacturing Plants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QQQ</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Petroleum Refinery Wastewater Systems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RRR</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Emissions from Synthetic Organic Chemical Manufacturing Industry (SOCMI) Reactor Processes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SSS</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Magnetic Tape Coating Facilities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Surface Coating of Plastic Parts for Business Machines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UUU</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Calciners and Dryers in Mineral Industries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Polymeric Coating of Supporting Substrates Facilities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w:t>
            </w:r>
          </w:p>
        </w:tc>
        <w:tc>
          <w:tcPr>
            <w:tcW w:w="4106"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Solid Waste Landfills</w:t>
            </w:r>
          </w:p>
        </w:tc>
        <w:tc>
          <w:tcPr>
            <w:tcW w:w="193"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144"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149" w:type="pct"/>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roofErr w:type="gramStart"/>
      <w:r w:rsidRPr="007E5CFA">
        <w:rPr>
          <w:rFonts w:ascii="Arial" w:eastAsia="Times New Roman" w:hAnsi="Arial" w:cs="Arial"/>
          <w:sz w:val="20"/>
          <w:szCs w:val="20"/>
        </w:rPr>
        <w:lastRenderedPageBreak/>
        <w:t>(iv) Delegations</w:t>
      </w:r>
      <w:proofErr w:type="gramEnd"/>
      <w:r w:rsidRPr="007E5CFA">
        <w:rPr>
          <w:rFonts w:ascii="Arial" w:eastAsia="Times New Roman" w:hAnsi="Arial" w:cs="Arial"/>
          <w:sz w:val="20"/>
          <w:szCs w:val="20"/>
        </w:rPr>
        <w:t xml:space="preserve"> for Lake County Air Quality Management District, Lassen County Air Pollution Control District, Mariposa County Air Pollution Control District, and Mendocino County Air Pollution Control District are shown in the following table: </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 xml:space="preserve">Delegation Status for New Source Performance Standards for Lake County Air Quality Management District, Lassen County Air Pollution Control District, Mariposa County Air Pollution Control District, and Mendocino County Air Pollution Control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7"/>
        <w:gridCol w:w="4466"/>
        <w:gridCol w:w="905"/>
        <w:gridCol w:w="936"/>
        <w:gridCol w:w="1131"/>
        <w:gridCol w:w="1309"/>
      </w:tblGrid>
      <w:tr w:rsidR="007E5CFA" w:rsidRPr="007E5CFA" w:rsidTr="007E5CF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Air pollution control agency </w:t>
            </w:r>
          </w:p>
        </w:tc>
      </w:tr>
      <w:tr w:rsidR="007E5CFA" w:rsidRPr="007E5CFA" w:rsidTr="007E5CF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Lake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Lassen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Mariposa County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Mendocino County AQMD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Kb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Surface Coating of </w:t>
            </w:r>
            <w:bookmarkStart w:id="5" w:name="_GoBack"/>
            <w:bookmarkEnd w:id="5"/>
            <w:r w:rsidRPr="007E5CFA">
              <w:rPr>
                <w:rFonts w:ascii="Arial" w:eastAsia="Times New Roman" w:hAnsi="Arial" w:cs="Arial"/>
                <w:sz w:val="20"/>
                <w:szCs w:val="20"/>
              </w:rPr>
              <w:t>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MMM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 Delegations for Modoc Air Pollution Control District, Mojave Desert Air Quality Management District, Monterey Bay Unified Air Pollution Control District and North Coast Unified Air Quality Management District are shown in the following table:</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Delegation Status for New Source Performance Standards for Modoc County APCD, Mojave Desert AQMD, Monterey Bay Unified APCD, and North Coast Unified AQMD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4719"/>
        <w:gridCol w:w="911"/>
        <w:gridCol w:w="904"/>
        <w:gridCol w:w="1178"/>
        <w:gridCol w:w="979"/>
      </w:tblGrid>
      <w:tr w:rsidR="007E5CFA" w:rsidRPr="007E5CFA" w:rsidTr="007E5CF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Air pollution control agency</w:t>
            </w:r>
          </w:p>
        </w:tc>
      </w:tr>
      <w:tr w:rsidR="007E5CFA" w:rsidRPr="007E5CFA" w:rsidTr="007E5CF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Modoc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Mojave Desert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Monterey Bay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North Coast Unified AQMD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Ea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Onshore Natural Gas Processing: SO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RRR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roofErr w:type="gramStart"/>
      <w:r w:rsidRPr="007E5CFA">
        <w:rPr>
          <w:rFonts w:ascii="Arial" w:eastAsia="Times New Roman" w:hAnsi="Arial" w:cs="Arial"/>
          <w:sz w:val="20"/>
          <w:szCs w:val="20"/>
        </w:rPr>
        <w:t>(vi) Delegations</w:t>
      </w:r>
      <w:proofErr w:type="gramEnd"/>
      <w:r w:rsidRPr="007E5CFA">
        <w:rPr>
          <w:rFonts w:ascii="Arial" w:eastAsia="Times New Roman" w:hAnsi="Arial" w:cs="Arial"/>
          <w:sz w:val="20"/>
          <w:szCs w:val="20"/>
        </w:rPr>
        <w:t xml:space="preserve"> for Northern Sierra Air Quality Management District, Northern Sonoma County Air Pollution Control District, Placer County Air Pollution Control District, and Sacramento Metropolitan Air Quality Management District are shown in the following table: </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 xml:space="preserve">Delegation Status for New Source Performance Standards for Northern Sierra Air Quality Management District, Northern Sonoma County Air Pollution Control District, Placer County Air Pollution Control District, and Sacramento Metropolitan Air Quality Management District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8"/>
        <w:gridCol w:w="4157"/>
        <w:gridCol w:w="1048"/>
        <w:gridCol w:w="1171"/>
        <w:gridCol w:w="890"/>
        <w:gridCol w:w="1480"/>
      </w:tblGrid>
      <w:tr w:rsidR="007E5CFA" w:rsidRPr="007E5CFA" w:rsidTr="007E5CF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Subpart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Air pollution control agency </w:t>
            </w:r>
          </w:p>
        </w:tc>
      </w:tr>
      <w:tr w:rsidR="007E5CFA" w:rsidRPr="007E5CFA" w:rsidTr="007E5CF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Northern Sierra AQMD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Northern Sonoma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Placer County APCD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Sacramento Metropolitan AQMD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NNN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(vii) Delegations for San Diego County Air Pollution Control District, San Joaquin Valley Unified Air Pollution Control District, San Luis Obispo County Air Pollution Control District, and Santa Barbara County Air Pollution Control District are shown in the following table:</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Delegation Status for New Source Performance Standards for San Diego County APCD, San Joaquin Valley Unified APCD, San Luis Obispo County APCD, and Santa Barbara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4553"/>
        <w:gridCol w:w="942"/>
        <w:gridCol w:w="1122"/>
        <w:gridCol w:w="1023"/>
        <w:gridCol w:w="1051"/>
      </w:tblGrid>
      <w:tr w:rsidR="007E5CFA" w:rsidRPr="007E5CFA" w:rsidTr="007E5CF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Air pollution control agency</w:t>
            </w:r>
          </w:p>
        </w:tc>
      </w:tr>
      <w:tr w:rsidR="007E5CFA" w:rsidRPr="007E5CFA" w:rsidTr="007E5CF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San Diego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San Joaquin Valley Unified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San Luis Obispo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Santa Barbara County APCD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Onshore Natural Gas Processing: SO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QQQ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(viii) Delegations for Shasta County Air Quality Management District, Siskiyou County Air Pollution Control District, South Coast Air Quality Management District, and Tehama County Air Pollution Control District are shown in the following table: </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Delegation Status for New Source Performance Standards for Shasta County AQMD, Siskiyou County APCD, South Coast AQMD, and Tehama County APCD</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4"/>
        <w:gridCol w:w="4963"/>
        <w:gridCol w:w="940"/>
        <w:gridCol w:w="1072"/>
        <w:gridCol w:w="840"/>
        <w:gridCol w:w="875"/>
      </w:tblGrid>
      <w:tr w:rsidR="007E5CFA" w:rsidRPr="007E5CFA" w:rsidTr="007E5CF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lastRenderedPageBreak/>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Subpart</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Air pollution control agency</w:t>
            </w:r>
          </w:p>
        </w:tc>
      </w:tr>
      <w:tr w:rsidR="007E5CFA" w:rsidRPr="007E5CFA" w:rsidTr="007E5CF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Shasta County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Siskiyou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South Coast AQMD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Tehama</w:t>
            </w:r>
            <w:r w:rsidRPr="007E5CFA">
              <w:rPr>
                <w:rFonts w:ascii="Arial" w:eastAsia="Times New Roman" w:hAnsi="Arial" w:cs="Arial"/>
                <w:b/>
                <w:bCs/>
                <w:sz w:val="20"/>
                <w:szCs w:val="20"/>
              </w:rPr>
              <w:br/>
              <w:t>County APCD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Volatile Organic Liquid Storage Vessels (Including Petroleum Liquid Storage Vessels) for Which </w:t>
            </w:r>
            <w:r w:rsidRPr="007E5CFA">
              <w:rPr>
                <w:rFonts w:ascii="Arial" w:eastAsia="Times New Roman" w:hAnsi="Arial" w:cs="Arial"/>
                <w:sz w:val="20"/>
                <w:szCs w:val="20"/>
              </w:rPr>
              <w:lastRenderedPageBreak/>
              <w:t>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Onshore Natural Gas Processing: SO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(ix) Delegations for Tuolumne County Air Pollution Control District, Ventura County Air Pollution Control District, and Yolo-Solano Air Quality Management District are shown in the following table:</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Delegation Status for New Source Performance Standards for Tuolumne County Air Pollution Control District, Ventura County Air Pollution Control District, and Yolo-Solano Air Quality Management District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5480"/>
        <w:gridCol w:w="1250"/>
        <w:gridCol w:w="1039"/>
        <w:gridCol w:w="922"/>
      </w:tblGrid>
      <w:tr w:rsidR="007E5CFA" w:rsidRPr="007E5CFA" w:rsidTr="007E5CF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Air Pollution Control Agency</w:t>
            </w:r>
          </w:p>
        </w:tc>
      </w:tr>
      <w:tr w:rsidR="007E5CFA" w:rsidRPr="007E5CFA" w:rsidTr="007E5CF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Tuolumne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Ventura County APCD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Yolo-Solano AQMD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 </w:t>
      </w:r>
      <w:r w:rsidRPr="007E5CFA">
        <w:rPr>
          <w:rFonts w:ascii="Arial" w:eastAsia="Times New Roman" w:hAnsi="Arial" w:cs="Arial"/>
          <w:i/>
          <w:iCs/>
          <w:sz w:val="20"/>
          <w:szCs w:val="20"/>
        </w:rPr>
        <w:t>Hawaii.</w:t>
      </w:r>
      <w:r w:rsidRPr="007E5CFA">
        <w:rPr>
          <w:rFonts w:ascii="Arial" w:eastAsia="Times New Roman" w:hAnsi="Arial" w:cs="Arial"/>
          <w:sz w:val="20"/>
          <w:szCs w:val="20"/>
        </w:rPr>
        <w:t xml:space="preserve"> The following table identifies delegations for Hawaii:</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Delegation Status for New Source Performance Standards for Hawaii:</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Delegation Status for New Source Performance Standards for Hawaii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8027"/>
        <w:gridCol w:w="664"/>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Hawaii</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Chemicals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Chemicals Manufacturing Industry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Residential Wool Heaters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GGGa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Petroleum Refinery Wastewater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Municipal Waste Combustion Units for Which Construction is Commenced After August 30, 1999 or for Which Modification or Reconstruction is Commenced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 </w:t>
      </w:r>
      <w:r w:rsidRPr="007E5CFA">
        <w:rPr>
          <w:rFonts w:ascii="Arial" w:eastAsia="Times New Roman" w:hAnsi="Arial" w:cs="Arial"/>
          <w:i/>
          <w:iCs/>
          <w:sz w:val="20"/>
          <w:szCs w:val="20"/>
        </w:rPr>
        <w:t>Nevada.</w:t>
      </w:r>
      <w:r w:rsidRPr="007E5CFA">
        <w:rPr>
          <w:rFonts w:ascii="Arial" w:eastAsia="Times New Roman" w:hAnsi="Arial" w:cs="Arial"/>
          <w:sz w:val="20"/>
          <w:szCs w:val="20"/>
        </w:rPr>
        <w:t xml:space="preserve"> The following table identifies delegations for Nevada: </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Delegation Status for New Source Performance Standards for Nevada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53"/>
        <w:gridCol w:w="6190"/>
        <w:gridCol w:w="853"/>
        <w:gridCol w:w="851"/>
        <w:gridCol w:w="797"/>
      </w:tblGrid>
      <w:tr w:rsidR="007E5CFA" w:rsidRPr="007E5CFA" w:rsidTr="007E5CFA">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lastRenderedPageBreak/>
              <w:t>  </w:t>
            </w:r>
          </w:p>
        </w:tc>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Subpart</w:t>
            </w:r>
          </w:p>
        </w:tc>
        <w:tc>
          <w:tcPr>
            <w:tcW w:w="0" w:type="auto"/>
            <w:gridSpan w:val="3"/>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Air pollution control agency</w:t>
            </w:r>
          </w:p>
        </w:tc>
      </w:tr>
      <w:tr w:rsidR="007E5CFA" w:rsidRPr="007E5CFA" w:rsidTr="007E5CFA">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E5CFA" w:rsidRPr="007E5CFA" w:rsidRDefault="007E5CFA" w:rsidP="007E5CFA">
            <w:pPr>
              <w:spacing w:after="0" w:line="240" w:lineRule="auto"/>
              <w:rPr>
                <w:rFonts w:ascii="Arial" w:eastAsia="Times New Roman" w:hAnsi="Arial" w:cs="Arial"/>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Nevada DEP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Clark County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Washoe</w:t>
            </w:r>
            <w:r w:rsidRPr="007E5CFA">
              <w:rPr>
                <w:rFonts w:ascii="Arial" w:eastAsia="Times New Roman" w:hAnsi="Arial" w:cs="Arial"/>
                <w:b/>
                <w:bCs/>
                <w:sz w:val="20"/>
                <w:szCs w:val="20"/>
              </w:rPr>
              <w:br/>
              <w:t>County</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Large 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 For Which Construction, Reconstruction or Modification Commenced After October 14, 2011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 for Which Construction, Reconstruction, or Modification Commenced After May 14, 2007</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May 18, 1978, and Prior to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Liquid Storage Vessels (Including Petroleum Liquid Storage Vessels) for Which Construction, Reconstruction, or Modification Commenced After July 23, 1984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Emissions from Basic Oxygen Process Furnaces for Which Construction is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Na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Emissions from Basic Oxygen Process Steelmaking Facilities for Which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Wet Process 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Coal Preparation and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Constructed After October 21, 1974 and On or Before August 17,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and Argon-Oxygen Decarburization Vessels Constructed After August 7,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Surface Coating of Metal Furniture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Automobile and Light Duty Trucks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Rock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Industry Chemicals Manufacturing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the Synthetic Organic Industry for Which Construction, Reconstruction, or Chemicals Manufacturing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Beverage Can Surface Coating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Compounds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in Petroleum Refineries for Which Construction, Reconstruction, or Modification Commenced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the Synthetic Organic Chemical Manufacturing Industry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Equipment Leaks of VOC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Onshore Natural Gas Processing: SO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 xml:space="preserve"> Emissions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Synthetic Organic Chemical Manufacturing Industry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Emissions from Synthetic Organic Chemical Manufacturing Industry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Magnetic Tape Coating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Surface Coating of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UUU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Municipal Waste Combustion Units for Which Construction is Commenced After August 30, 1999 or for Which Modification or Reconstruction is Commended After June 6,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Commercial and Industrial Solid Waste Incineration Units for Which Construction Is Commenced After November 30, 1999 or for Which Modification or Reconstruction Is Commenced on or After June 1, 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Other Solid Waste Incineration Units for Which Construction is Commenced After December 9, 2004, or for Which Modification or Reconstruction is Commenced on or After June 16,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Spark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Combustion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Sewage Sludge Incineration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Crude Oil and Natural Gas Production, Transmission, and Distribution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Times New Roman" w:eastAsia="Times New Roman" w:hAnsi="Times New Roman" w:cs="Times New Roman"/>
                <w:sz w:val="20"/>
                <w:szCs w:val="20"/>
              </w:rPr>
            </w:pP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(5) </w:t>
      </w:r>
      <w:r w:rsidRPr="007E5CFA">
        <w:rPr>
          <w:rFonts w:ascii="Arial" w:eastAsia="Times New Roman" w:hAnsi="Arial" w:cs="Arial"/>
          <w:i/>
          <w:iCs/>
          <w:sz w:val="20"/>
          <w:szCs w:val="20"/>
        </w:rPr>
        <w:t>Guam.</w:t>
      </w:r>
      <w:r w:rsidRPr="007E5CFA">
        <w:rPr>
          <w:rFonts w:ascii="Arial" w:eastAsia="Times New Roman" w:hAnsi="Arial" w:cs="Arial"/>
          <w:sz w:val="20"/>
          <w:szCs w:val="20"/>
        </w:rPr>
        <w:t xml:space="preserve"> The following table identifies delegations as of June 15, 2001:</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 xml:space="preserve">Delegation Status for New Source Performance Standards for Guam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
        <w:gridCol w:w="8461"/>
        <w:gridCol w:w="597"/>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Subpart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Guam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Fossil-Fuel Fired Steam Generators Constructed After August 17, 1971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Constructed After September 18,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Industrial Steam Generating Units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December 20, 1989 and On or Before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 Constructed After September 20, 1994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Hospital/Medical/Infectious Waste Incinerators for Which Construction is Commenced After June 20, 1996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X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for Which Construction, Reconstruction, or Modification Commenced After June 11, 1973, and Prior to May 19, 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(e) The following lists the specific part 60 standards that have been delegated unchanged to the air pollution control agencies in Region 6.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w:t>
      </w:r>
      <w:r w:rsidRPr="007E5CFA">
        <w:rPr>
          <w:rFonts w:ascii="Arial" w:eastAsia="Times New Roman" w:hAnsi="Arial" w:cs="Arial"/>
          <w:i/>
          <w:iCs/>
          <w:sz w:val="20"/>
          <w:szCs w:val="20"/>
        </w:rPr>
        <w:t>New Mexico.</w:t>
      </w:r>
      <w:r w:rsidRPr="007E5CFA">
        <w:rPr>
          <w:rFonts w:ascii="Arial" w:eastAsia="Times New Roman" w:hAnsi="Arial" w:cs="Arial"/>
          <w:sz w:val="20"/>
          <w:szCs w:val="20"/>
        </w:rPr>
        <w:t xml:space="preserve"> The New Mexico Environment Department has been delegated all part 60 standards promulgated by EPA, except subpart AAA—Standards of Performance for New Residential Wood Heaters, as amended in the </w:t>
      </w:r>
      <w:r w:rsidRPr="007E5CFA">
        <w:rPr>
          <w:rFonts w:ascii="Arial" w:eastAsia="Times New Roman" w:hAnsi="Arial" w:cs="Arial"/>
          <w:smallCaps/>
          <w:sz w:val="20"/>
          <w:szCs w:val="20"/>
        </w:rPr>
        <w:t>Federal Register</w:t>
      </w:r>
      <w:r w:rsidRPr="007E5CFA">
        <w:rPr>
          <w:rFonts w:ascii="Arial" w:eastAsia="Times New Roman" w:hAnsi="Arial" w:cs="Arial"/>
          <w:sz w:val="20"/>
          <w:szCs w:val="20"/>
        </w:rPr>
        <w:t xml:space="preserve"> through September 1, 2002.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Louisiana. The Louisiana Department of Environmental Quality has been delegated all part 60 standards promulgated by EPA, except subpart AAA—Standards for Performance for New Residential Wood Heaters, as amended in the </w:t>
      </w:r>
      <w:r w:rsidRPr="007E5CFA">
        <w:rPr>
          <w:rFonts w:ascii="Arial" w:eastAsia="Times New Roman" w:hAnsi="Arial" w:cs="Arial"/>
          <w:smallCaps/>
          <w:sz w:val="20"/>
          <w:szCs w:val="20"/>
        </w:rPr>
        <w:t>Federal Register</w:t>
      </w:r>
      <w:r w:rsidRPr="007E5CFA">
        <w:rPr>
          <w:rFonts w:ascii="Arial" w:eastAsia="Times New Roman" w:hAnsi="Arial" w:cs="Arial"/>
          <w:sz w:val="20"/>
          <w:szCs w:val="20"/>
        </w:rPr>
        <w:t xml:space="preserve"> through July 1, 2008.</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Delegation Status for Part 60 Standards—State of Louisiana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86"/>
        <w:gridCol w:w="7900"/>
        <w:gridCol w:w="658"/>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Source 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LDEQ</w:t>
            </w:r>
            <w:r w:rsidRPr="007E5CFA">
              <w:rPr>
                <w:rFonts w:ascii="Arial" w:eastAsia="Times New Roman" w:hAnsi="Arial" w:cs="Arial"/>
                <w:b/>
                <w:bCs/>
                <w:sz w:val="20"/>
                <w:szCs w:val="20"/>
                <w:vertAlign w:val="superscript"/>
              </w:rPr>
              <w:t>1</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Fossil Fueled Steam Generators (&gt;250 MM BTU/hr).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Electric Utility Steam Generating Units (&gt;250 MM BTU/hr).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 (100 to 250 MM BTU/hr).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Small Steam Generating Units (10 to 100 MM BTU/hr).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Incinerators (&gt;50 tons per day). Including amendments issued January 28, 2009. (74 FR 5072)</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Large Municipal Waste Combustors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Hospital/Medical/Infectious Waste Incinerators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Portland Cement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Nitric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Sulfuric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Hot Mix Asphalt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Ja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 (After May 14, 2007). Including amendments issued July 28, 2008. (73 FR 43626)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Storage Vessels for Petroleum Liquids (After 6/11/73 &amp; Before 5/19/78)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Liquid Storage Vessels (Including Petroleum Liquid Stg/Vessels) After 7/23/84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Brass and Bronze Production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Emissions from Basic Oxygen Process Furnaces (Construction Commenced After June 11, 1973)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Emissions from Basic Oxygen Process Steelmaking Facilities Construction is Commenced After January 20, 1983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Sewage Treatment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Copper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Zinc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Lead Smelters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Primary Aluminum Reduction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Wet Process Phosphoric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Superphosphoric Acid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Diammonium 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Triple Superphosphate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Fertilizer Industry: Granular Triple Superphosphate Storage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Coal Preparation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Z</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Ferroalloy Production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After 10/21/74 &amp; On or Before 8/17/83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Steel Plants: Electric Arc Furnaces &amp; Argon-Oxygen Decarburization Vessels After 8/07/83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Kraft Pulp Mills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Grain Elevators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Surface Coating of Metal Furnature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Lime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Lead-Acid Battery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MM</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Automobile &amp; Light Duty Truck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Arts Industry: Publication Rotogravure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Pressure Sensitive Tape and Label Surface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 Coil Surface Coating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Asphalt Processing and Asphalt Roofing Manufacture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Equipment Leaks in the SOCMI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Equipment Leaks in the SOCMI Industry (After November 7, 2006)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XX</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Bulk Gasoline Terminals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New Residential Wood Heaters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BBB</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Rubber Tire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DDD</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Volatile Organic Compound (VOC) Emissions from the Polymer Manufacturing Industry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FFF</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Flexible Vinyl and Urethane Coating and Printing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GGG</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Equipment Leaks in Petroleum Refineries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HHH</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 Production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the SOCMI Air Oxidation Unit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Dry Cleaners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Equipment Leaks From Onshore Natural Gas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LLL</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Onshore Natural Gas Processing: SO2 Emissions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NNN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SOCMI Distillation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OOO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PPP</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Wool Fiberglass Insulation Manufacturing Plants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QQQ</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Petroleum Refinery Wastewater Systems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RRR</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VOC Emissions from SOCMI Reactor Processes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SSS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Magnetic Tape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TTT</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Plastic Parts for Business Machines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UUU</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Calciners and Dryers in Mineral Industries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VVV</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Polymeric Coating of Supporting Substrates Facilities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WWW</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Solid Waste Landfills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AAAA</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Small Municipal Waste Combustion Units (Construction is Commenced After 8/30/99 or Modification/Reconstruction is Commenced After 6/06/2001)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CCCC</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Commercial &amp; Industrial Solid Waste Incineration Units (Construction is Commenced After 11/30/1999 or Modification/Reconstruction is Commenced on or After 6/01/2001)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EEEE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Other Solid Waste Incineration Units (Constructed after 12/09/2004 or Modicatation/Reconstruction is commenced on or after 06/16/2004)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IIII</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Compression Ignition Internal Combustion Engines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JJJJ</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Spark Ignition Internal Combustion Engines. Including amendments issued October 8, 2008. (73 FR 59175)</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KKKK</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Combustion Turbines (Construction Commenced After 02/18/2005)</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Yes</w:t>
            </w: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1</w:t>
      </w:r>
      <w:r w:rsidRPr="007E5CFA">
        <w:rPr>
          <w:rFonts w:ascii="Arial" w:eastAsia="Times New Roman" w:hAnsi="Arial" w:cs="Arial"/>
          <w:sz w:val="20"/>
          <w:szCs w:val="20"/>
        </w:rPr>
        <w:t>The Louisiana Department of Environmental Quality (LDEQ) has been delegated all Part 60 standards promulgated by EPA, except subpart AAA—Standards of Performance for New Residential Wood Heaters—as amended in the Federal Register through July 1, 2008.</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 </w:t>
      </w:r>
      <w:r w:rsidRPr="007E5CFA">
        <w:rPr>
          <w:rFonts w:ascii="Arial" w:eastAsia="Times New Roman" w:hAnsi="Arial" w:cs="Arial"/>
          <w:i/>
          <w:iCs/>
          <w:sz w:val="20"/>
          <w:szCs w:val="20"/>
        </w:rPr>
        <w:t>Albuquerque-Bernalillo County Air Quality Control Board.</w:t>
      </w:r>
      <w:r w:rsidRPr="007E5CFA">
        <w:rPr>
          <w:rFonts w:ascii="Arial" w:eastAsia="Times New Roman" w:hAnsi="Arial" w:cs="Arial"/>
          <w:sz w:val="20"/>
          <w:szCs w:val="20"/>
        </w:rPr>
        <w:t xml:space="preserve"> The Albuquerque-Bernalillo County Air Quality Control Board has been delegated all part 60 standards promulgated by EPA, except Subpart AAA—Standards of Performance for New Residential Wood Heaters; Subpart WWW—Standards of Performance for Municipal Solid Waste Landfills; Subpart Cc—Emissions Guidelines and Compliance Times for Municipal Solid Waste Landfills, as amended in the </w:t>
      </w:r>
      <w:r w:rsidRPr="007E5CFA">
        <w:rPr>
          <w:rFonts w:ascii="Arial" w:eastAsia="Times New Roman" w:hAnsi="Arial" w:cs="Arial"/>
          <w:smallCaps/>
          <w:sz w:val="20"/>
          <w:szCs w:val="20"/>
        </w:rPr>
        <w:t>Federal Register</w:t>
      </w:r>
      <w:r w:rsidRPr="007E5CFA">
        <w:rPr>
          <w:rFonts w:ascii="Arial" w:eastAsia="Times New Roman" w:hAnsi="Arial" w:cs="Arial"/>
          <w:sz w:val="20"/>
          <w:szCs w:val="20"/>
        </w:rPr>
        <w:t xml:space="preserve"> through July 1, 2004.</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 xml:space="preserve">[40 FR 18169, Apr. 25, 1975] </w:t>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t>Editorial Note:</w:t>
      </w:r>
      <w:r w:rsidRPr="007E5CFA">
        <w:rPr>
          <w:rFonts w:ascii="Arial" w:eastAsia="Times New Roman" w:hAnsi="Arial" w:cs="Arial"/>
          <w:sz w:val="20"/>
          <w:szCs w:val="20"/>
        </w:rPr>
        <w:t xml:space="preserve"> For </w:t>
      </w:r>
      <w:r w:rsidRPr="007E5CFA">
        <w:rPr>
          <w:rFonts w:ascii="Arial" w:eastAsia="Times New Roman" w:hAnsi="Arial" w:cs="Arial"/>
          <w:smallCaps/>
          <w:sz w:val="20"/>
          <w:szCs w:val="20"/>
        </w:rPr>
        <w:t>Federal Register</w:t>
      </w:r>
      <w:r w:rsidRPr="007E5CFA">
        <w:rPr>
          <w:rFonts w:ascii="Arial" w:eastAsia="Times New Roman" w:hAnsi="Arial" w:cs="Arial"/>
          <w:sz w:val="20"/>
          <w:szCs w:val="20"/>
        </w:rPr>
        <w:t xml:space="preserve"> citations affecting §60.4 see the List of CFR Sections Affected, which appears in the Finding Aids section of the printed volume and at </w:t>
      </w:r>
      <w:r w:rsidRPr="007E5CFA">
        <w:rPr>
          <w:rFonts w:ascii="Arial" w:eastAsia="Times New Roman" w:hAnsi="Arial" w:cs="Arial"/>
          <w:i/>
          <w:iCs/>
          <w:sz w:val="20"/>
          <w:szCs w:val="20"/>
        </w:rPr>
        <w:t>www.fdsys.gov.</w:t>
      </w:r>
      <w:r w:rsidRPr="007E5CFA">
        <w:rPr>
          <w:rFonts w:ascii="Arial" w:eastAsia="Times New Roman" w:hAnsi="Arial" w:cs="Arial"/>
          <w:sz w:val="20"/>
          <w:szCs w:val="20"/>
        </w:rPr>
        <w:t xml:space="preserve"> </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33"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20" name="Picture 20"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6" w:name="40:7.0.1.1.1.1.151.5"/>
      <w:bookmarkEnd w:id="6"/>
      <w:r w:rsidRPr="007E5CFA">
        <w:rPr>
          <w:rFonts w:ascii="Arial" w:eastAsia="Times New Roman" w:hAnsi="Arial" w:cs="Arial"/>
          <w:b/>
          <w:bCs/>
          <w:sz w:val="20"/>
          <w:szCs w:val="20"/>
        </w:rPr>
        <w:t>§60.5   Determination of construction or modification.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(b) The Administrator will respond to any request for a determination under paragraph (a) of this section within 30 days of receipt of such request. </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 xml:space="preserve">[40 FR 58418, Dec. 16, 1975] </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34"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19" name="Picture 19"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7" w:name="40:7.0.1.1.1.1.151.6"/>
      <w:bookmarkEnd w:id="7"/>
      <w:r w:rsidRPr="007E5CFA">
        <w:rPr>
          <w:rFonts w:ascii="Arial" w:eastAsia="Times New Roman" w:hAnsi="Arial" w:cs="Arial"/>
          <w:b/>
          <w:bCs/>
          <w:sz w:val="20"/>
          <w:szCs w:val="20"/>
        </w:rPr>
        <w:t>§60.6   Review of plans.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(a) When requested to do so by an owner or operator, the Administrator will review plans for construction or modification for the purpose of providing technical advice to the owner or operator.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(b)(1) A separate request shall be submitted for each construction or modification project.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 xml:space="preserve">[36 FR 24877, Dec. 23, 1971, as amended at 39 FR 9314, Mar. 8, 1974] </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35"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18" name="Picture 18"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8" w:name="40:7.0.1.1.1.1.151.7"/>
      <w:bookmarkEnd w:id="8"/>
      <w:r w:rsidRPr="007E5CFA">
        <w:rPr>
          <w:rFonts w:ascii="Arial" w:eastAsia="Times New Roman" w:hAnsi="Arial" w:cs="Arial"/>
          <w:b/>
          <w:bCs/>
          <w:sz w:val="20"/>
          <w:szCs w:val="20"/>
        </w:rPr>
        <w:t>§60.7   Notification and record keeping.</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[Reserved]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 A notification of the actual date of initial startup of an affected facility postmarked within 15 days after such date.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(5) A notification of the date upon which demonstration of the continuous monitoring system performance commences in accordance with §60.13(c). Notification shall be postmarked not less than 30 days prior to such date.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 A notification of the anticipated date for conducting the opacity observations required by §60.11(e</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 xml:space="preserve">1) of this part. The notification shall also include, if appropriate, a request for the Administrator to provide a visible emissions reader during a performance test. The notification shall be postmarked not less than 30 days prior to such date.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(c) Each owner or operator required to install a continuous monitoring device shall submit excess emissions and monitoring systems performance report (excess emissions are defined in applicable </w:t>
      </w:r>
      <w:r w:rsidRPr="007E5CFA">
        <w:rPr>
          <w:rFonts w:ascii="Arial" w:eastAsia="Times New Roman" w:hAnsi="Arial" w:cs="Arial"/>
          <w:sz w:val="20"/>
          <w:szCs w:val="20"/>
        </w:rPr>
        <w:lastRenderedPageBreak/>
        <w:t>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 The date and time identifying each period during which the continuous monitoring system was inoperative except for zero and span checks and the nature of the system repairs or adjustments.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 When no excess emissions have occurred or the continuous monitoring system(s) have not been inoperative, repaired, or adjusted, such information shall be stated in the report.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7E5CFA" w:rsidRPr="007E5CFA" w:rsidRDefault="007E5CFA" w:rsidP="007E5CFA">
      <w:pPr>
        <w:spacing w:before="200" w:after="100" w:line="240" w:lineRule="auto"/>
        <w:outlineLvl w:val="0"/>
        <w:rPr>
          <w:rFonts w:ascii="Arial" w:eastAsia="Times New Roman" w:hAnsi="Arial" w:cs="Arial"/>
          <w:smallCaps/>
          <w:kern w:val="36"/>
          <w:sz w:val="20"/>
          <w:szCs w:val="20"/>
        </w:rPr>
      </w:pPr>
      <w:r w:rsidRPr="007E5CFA">
        <w:rPr>
          <w:rFonts w:ascii="Arial" w:eastAsia="Times New Roman" w:hAnsi="Arial" w:cs="Arial"/>
          <w:smallCaps/>
          <w:kern w:val="36"/>
          <w:sz w:val="20"/>
          <w:szCs w:val="20"/>
        </w:rPr>
        <w:t>Figure 1—Summary Report—Gaseous and Opacity Excess Emission and Monitoring System Performance</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Pollutant (Circle One—SO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/NO</w:t>
      </w:r>
      <w:r w:rsidRPr="007E5CFA">
        <w:rPr>
          <w:rFonts w:ascii="Arial" w:eastAsia="Times New Roman" w:hAnsi="Arial" w:cs="Arial"/>
          <w:sz w:val="20"/>
          <w:szCs w:val="20"/>
          <w:vertAlign w:val="subscript"/>
        </w:rPr>
        <w:t>X</w:t>
      </w:r>
      <w:r w:rsidRPr="007E5CFA">
        <w:rPr>
          <w:rFonts w:ascii="Arial" w:eastAsia="Times New Roman" w:hAnsi="Arial" w:cs="Arial"/>
          <w:sz w:val="20"/>
          <w:szCs w:val="20"/>
        </w:rPr>
        <w:t>/TRS/H</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S/CO/Opacity)</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Reporting period dates: From _____ to _____</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Company:</w:t>
      </w:r>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shd w:val="clear" w:color="auto" w:fill="FFFFFF"/>
        </w:rPr>
        <w:t>Emission Limitation</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Address:</w:t>
      </w:r>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shd w:val="clear" w:color="auto" w:fill="FFFFFF"/>
        </w:rPr>
        <w:t>Monitor Manufacturer and Model No.</w:t>
      </w:r>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shd w:val="clear" w:color="auto" w:fill="FFFFFF"/>
        </w:rPr>
        <w:t>Date of Latest CMS Certification or Audit</w:t>
      </w:r>
    </w:p>
    <w:p w:rsidR="007E5CFA" w:rsidRPr="007E5CFA" w:rsidRDefault="007E5CFA" w:rsidP="007E5CFA">
      <w:pPr>
        <w:spacing w:before="200" w:after="100" w:line="240" w:lineRule="auto"/>
        <w:ind w:left="480" w:hanging="480"/>
        <w:rPr>
          <w:rFonts w:ascii="Arial" w:eastAsia="Times New Roman" w:hAnsi="Arial" w:cs="Arial"/>
          <w:sz w:val="20"/>
          <w:szCs w:val="20"/>
        </w:rPr>
      </w:pPr>
      <w:r w:rsidRPr="007E5CFA">
        <w:rPr>
          <w:rFonts w:ascii="Arial" w:eastAsia="Times New Roman" w:hAnsi="Arial" w:cs="Arial"/>
          <w:sz w:val="20"/>
          <w:szCs w:val="20"/>
        </w:rPr>
        <w:t>Process Unit(s) Description:</w:t>
      </w:r>
    </w:p>
    <w:p w:rsidR="007E5CFA" w:rsidRPr="007E5CFA" w:rsidRDefault="007E5CFA" w:rsidP="007E5CFA">
      <w:pPr>
        <w:spacing w:line="240" w:lineRule="auto"/>
        <w:rPr>
          <w:rFonts w:ascii="Arial" w:eastAsia="Times New Roman" w:hAnsi="Arial" w:cs="Arial"/>
          <w:sz w:val="20"/>
          <w:szCs w:val="20"/>
        </w:rPr>
      </w:pPr>
      <w:r w:rsidRPr="007E5CFA">
        <w:rPr>
          <w:rFonts w:ascii="Arial" w:eastAsia="Times New Roman" w:hAnsi="Arial" w:cs="Arial"/>
          <w:sz w:val="20"/>
          <w:szCs w:val="20"/>
          <w:shd w:val="clear" w:color="auto" w:fill="FFFFFF"/>
        </w:rPr>
        <w:t>Total source operating time in reporting period</w:t>
      </w:r>
      <w:r w:rsidRPr="007E5CFA">
        <w:rPr>
          <w:rFonts w:ascii="Arial" w:eastAsia="Times New Roman" w:hAnsi="Arial" w:cs="Arial"/>
          <w:sz w:val="20"/>
          <w:szCs w:val="20"/>
          <w:shd w:val="clear" w:color="auto" w:fill="FFFFFF"/>
          <w:vertAlign w:val="superscript"/>
        </w:rPr>
        <w:t>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876"/>
        <w:gridCol w:w="281"/>
        <w:gridCol w:w="3906"/>
        <w:gridCol w:w="281"/>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lastRenderedPageBreak/>
              <w:t>Emission data summary</w:t>
            </w:r>
            <w:r w:rsidRPr="007E5CFA">
              <w:rPr>
                <w:rFonts w:ascii="Arial" w:eastAsia="Times New Roman" w:hAnsi="Arial" w:cs="Arial"/>
                <w:b/>
                <w:bCs/>
                <w:sz w:val="20"/>
                <w:szCs w:val="20"/>
                <w:vertAlign w:val="superscript"/>
              </w:rPr>
              <w:t>1</w:t>
            </w:r>
            <w:r w:rsidRPr="007E5CFA">
              <w:rPr>
                <w:rFonts w:ascii="Arial" w:eastAsia="Times New Roman" w:hAnsi="Arial" w:cs="Arial"/>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CMS performance summary</w:t>
            </w:r>
            <w:r w:rsidRPr="007E5CFA">
              <w:rPr>
                <w:rFonts w:ascii="Arial" w:eastAsia="Times New Roman" w:hAnsi="Arial" w:cs="Arial"/>
                <w:b/>
                <w:bCs/>
                <w:sz w:val="20"/>
                <w:szCs w:val="20"/>
                <w:vertAlign w:val="superscript"/>
              </w:rPr>
              <w:t>1</w:t>
            </w:r>
            <w:r w:rsidRPr="007E5CFA">
              <w:rPr>
                <w:rFonts w:ascii="Arial" w:eastAsia="Times New Roman" w:hAnsi="Arial" w:cs="Arial"/>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r w:rsidRPr="007E5CFA">
              <w:rPr>
                <w:rFonts w:ascii="Arial" w:eastAsia="Times New Roman" w:hAnsi="Arial" w:cs="Arial"/>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w:t>
            </w:r>
            <w:r w:rsidRPr="007E5CFA">
              <w:rPr>
                <w:rFonts w:ascii="Arial" w:eastAsia="Times New Roman" w:hAnsi="Arial" w:cs="Arial"/>
                <w:sz w:val="20"/>
                <w:szCs w:val="20"/>
                <w:vertAlign w:val="superscript"/>
              </w:rPr>
              <w:t>2</w:t>
            </w: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1</w:t>
      </w:r>
      <w:r w:rsidRPr="007E5CFA">
        <w:rPr>
          <w:rFonts w:ascii="Arial" w:eastAsia="Times New Roman" w:hAnsi="Arial" w:cs="Arial"/>
          <w:sz w:val="20"/>
          <w:szCs w:val="20"/>
        </w:rPr>
        <w:t>For opacity, record all times in minutes. For gases, record all times in hours.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2</w:t>
      </w:r>
      <w:r w:rsidRPr="007E5CFA">
        <w:rPr>
          <w:rFonts w:ascii="Arial" w:eastAsia="Times New Roman" w:hAnsi="Arial" w:cs="Arial"/>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On a separate page, describe any changes since last quarter in CMS, process or controls. I certify that the information contained in this report is true, accurate, and complete.</w:t>
      </w:r>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shd w:val="clear" w:color="auto" w:fill="FFFFFF"/>
        </w:rPr>
        <w:t> </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Name</w:t>
      </w:r>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shd w:val="clear" w:color="auto" w:fill="FFFFFF"/>
        </w:rPr>
        <w:t> </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Signature</w:t>
      </w:r>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shd w:val="clear" w:color="auto" w:fill="FFFFFF"/>
        </w:rPr>
        <w:t> </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Title</w:t>
      </w:r>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shd w:val="clear" w:color="auto" w:fill="FFFFFF"/>
        </w:rPr>
        <w:t> </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Date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(ii) The owner or operator continues to comply with all recordkeeping and monitoring requirements specified in this subpart and the applicable standard; and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(iii) The Administrator does not object to a reduced frequency of reporting for the affected facility, as provided in paragraph (e</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 xml:space="preserve">2) of this section.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 The Administrator or delegated authority, upon notification to the source, may require the owner or operator to maintain all measurements as required by paragraph (f) of this section, if the Administrator </w:t>
      </w:r>
      <w:r w:rsidRPr="007E5CFA">
        <w:rPr>
          <w:rFonts w:ascii="Arial" w:eastAsia="Times New Roman" w:hAnsi="Arial" w:cs="Arial"/>
          <w:sz w:val="20"/>
          <w:szCs w:val="20"/>
        </w:rPr>
        <w:lastRenderedPageBreak/>
        <w:t>or the delegated authority determines these records are required to more accurately assess the compliance status of the affected source.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(h) Individual subparts of this part may include specific provisions which clarify or make inapplicable the provisions set forth in this section.</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36"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17" name="Picture 17"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9" w:name="40:7.0.1.1.1.1.151.8"/>
      <w:bookmarkEnd w:id="9"/>
      <w:r w:rsidRPr="007E5CFA">
        <w:rPr>
          <w:rFonts w:ascii="Arial" w:eastAsia="Times New Roman" w:hAnsi="Arial" w:cs="Arial"/>
          <w:b/>
          <w:bCs/>
          <w:sz w:val="20"/>
          <w:szCs w:val="20"/>
        </w:rPr>
        <w:t>§60.8   Performance tests.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(4) Until an extension of the performance test deadline has been approved by the Administrator under paragraphs (a</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1), (2), and (3) of this section, the owner or operator of the affected facility remains strictly subject to the requirements of this part.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w:t>
      </w:r>
      <w:r w:rsidRPr="007E5CFA">
        <w:rPr>
          <w:rFonts w:ascii="Arial" w:eastAsia="Times New Roman" w:hAnsi="Arial" w:cs="Arial"/>
          <w:sz w:val="20"/>
          <w:szCs w:val="20"/>
        </w:rPr>
        <w:lastRenderedPageBreak/>
        <w:t xml:space="preserve">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(e) The owner or operator of an affected facility shall provide, or cause to be provided, performance testing facilities as follows: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Safe sampling platform(s).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 Safe access to sampling platform(s).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 Utilities for sampling and testing equipment.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w:t>
      </w:r>
      <w:r w:rsidRPr="007E5CFA">
        <w:rPr>
          <w:rFonts w:ascii="Arial" w:eastAsia="Times New Roman" w:hAnsi="Arial" w:cs="Arial"/>
          <w:sz w:val="20"/>
          <w:szCs w:val="20"/>
        </w:rPr>
        <w:lastRenderedPageBreak/>
        <w:t>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Methods 30A and 30B of appendix A-8 of part 60, and Methods 303, 318, 320, and 321 of appendix A of part 63 of this chapter.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E5CFA">
        <w:rPr>
          <w:rFonts w:ascii="Arial" w:eastAsia="Times New Roman" w:hAnsi="Arial" w:cs="Arial"/>
          <w:i/>
          <w:iCs/>
          <w:sz w:val="20"/>
          <w:szCs w:val="20"/>
        </w:rPr>
        <w:t>www.epa.gov/ttn/emc,</w:t>
      </w:r>
      <w:r w:rsidRPr="007E5CFA">
        <w:rPr>
          <w:rFonts w:ascii="Arial" w:eastAsia="Times New Roman" w:hAnsi="Arial" w:cs="Arial"/>
          <w:sz w:val="20"/>
          <w:szCs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Preparing the sample;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Confirming the true concentration of the sample;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roofErr w:type="gramStart"/>
      <w:r w:rsidRPr="007E5CFA">
        <w:rPr>
          <w:rFonts w:ascii="Arial" w:eastAsia="Times New Roman" w:hAnsi="Arial" w:cs="Arial"/>
          <w:sz w:val="20"/>
          <w:szCs w:val="20"/>
        </w:rPr>
        <w:t>(iv) Providing</w:t>
      </w:r>
      <w:proofErr w:type="gramEnd"/>
      <w:r w:rsidRPr="007E5CFA">
        <w:rPr>
          <w:rFonts w:ascii="Arial" w:eastAsia="Times New Roman" w:hAnsi="Arial" w:cs="Arial"/>
          <w:sz w:val="20"/>
          <w:szCs w:val="20"/>
        </w:rPr>
        <w:t xml:space="preserve"> the opportunity for the compliance authority to comment on the selected concentration level for an audit sample;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 Distributing the sample to the user in a manner that guarantees that the true value of the sample is unknown to the user;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roofErr w:type="gramStart"/>
      <w:r w:rsidRPr="007E5CFA">
        <w:rPr>
          <w:rFonts w:ascii="Arial" w:eastAsia="Times New Roman" w:hAnsi="Arial" w:cs="Arial"/>
          <w:sz w:val="20"/>
          <w:szCs w:val="20"/>
        </w:rPr>
        <w:t>(vi) Recording</w:t>
      </w:r>
      <w:proofErr w:type="gramEnd"/>
      <w:r w:rsidRPr="007E5CFA">
        <w:rPr>
          <w:rFonts w:ascii="Arial" w:eastAsia="Times New Roman" w:hAnsi="Arial" w:cs="Arial"/>
          <w:sz w:val="20"/>
          <w:szCs w:val="20"/>
        </w:rPr>
        <w:t xml:space="preserve"> the measured concentration reported by the user and determining if the measured value is within acceptable limits;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(viii) Evaluating the acceptance limits of samples at least once every two years to determine in cooperation with the voluntary consensus standard body if they should be changed;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Checking audit samples to confirm their true value as reported by the AASP;</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Performing technical systems audits of the AASP's facilities and operating procedures at least once every two years;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(iii) Providing standards for use by the voluntary consensus standard body to approve the accrediting body that will accredit the audit sample providers.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w:t>
      </w:r>
      <w:proofErr w:type="gramStart"/>
      <w:r w:rsidRPr="007E5CFA">
        <w:rPr>
          <w:rFonts w:ascii="Arial" w:eastAsia="Times New Roman" w:hAnsi="Arial" w:cs="Arial"/>
          <w:sz w:val="20"/>
          <w:szCs w:val="20"/>
        </w:rPr>
        <w:t>NW.,</w:t>
      </w:r>
      <w:proofErr w:type="gramEnd"/>
      <w:r w:rsidRPr="007E5CFA">
        <w:rPr>
          <w:rFonts w:ascii="Arial" w:eastAsia="Times New Roman" w:hAnsi="Arial" w:cs="Arial"/>
          <w:sz w:val="20"/>
          <w:szCs w:val="20"/>
        </w:rPr>
        <w:t xml:space="preserve"> Washington, DC 20503, by calling (202) 395-6880 or downloading online at </w:t>
      </w:r>
      <w:r w:rsidRPr="007E5CFA">
        <w:rPr>
          <w:rFonts w:ascii="Arial" w:eastAsia="Times New Roman" w:hAnsi="Arial" w:cs="Arial"/>
          <w:i/>
          <w:iCs/>
          <w:sz w:val="20"/>
          <w:szCs w:val="20"/>
        </w:rPr>
        <w:t>http://standards.gov/standards_gov/a119.cfm.</w:t>
      </w:r>
      <w:r w:rsidRPr="007E5CFA">
        <w:rPr>
          <w:rFonts w:ascii="Arial" w:eastAsia="Times New Roman" w:hAnsi="Arial" w:cs="Arial"/>
          <w:sz w:val="20"/>
          <w:szCs w:val="20"/>
        </w:rPr>
        <w:t xml:space="preserve"> The VCSB shall approve all accrediting bodies. The Administrator will review all technical criteria documents. If the technical criteria documents do not meet the minimum technical requirements in paragraphs (g</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 xml:space="preserve">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E5CFA">
        <w:rPr>
          <w:rFonts w:ascii="Arial" w:eastAsia="Times New Roman" w:hAnsi="Arial" w:cs="Arial"/>
          <w:i/>
          <w:iCs/>
          <w:sz w:val="20"/>
          <w:szCs w:val="20"/>
        </w:rPr>
        <w:t>http://www.epa.gov/ttn/emc.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(h) Unless otherwise specified in the applicable subpart, each test location must be verified to be free of cyclonic flow and evaluated for the existence of emission gas stratification and the required number of sampling traverse points. If other procedures are not specified in the applicable subpart to the regulations, use the appropriate procedures in Method 1 to check for cyclonic flow and Method 7E to evaluate emission gas stratification and selection of sampling points.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Whenever the use of multiple calibration gases is required by a test method, performance specification, or quality assurance procedure in a part 60 standard or appendix, Method 205 of 40 CFR part 51, appendix M of this chapter, “Verification of Gas Dilution Systems for Field Instrument Calibrations,” may be used.</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 xml:space="preserve">[36 FR 24877, Dec. 23, 1971, as amended at 39 FR 9314, Mar. 8, 1974; 42 FR 57126, Nov. 1, 1977; 44 FR 33612, June 11, 1979; 54 FR 6662, Feb. 14, 1989; 54 FR 21344, May 17, 1989; 64 FR 7463, Feb. 12, 1999; 72 FR 27442, May 16, 2007; 75 FR 55646, Sept. 13, 2010; 79 FR 11241, Feb. 27, 2014] </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37"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16" name="Picture 16"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10" w:name="40:7.0.1.1.1.1.151.9"/>
      <w:bookmarkEnd w:id="10"/>
      <w:r w:rsidRPr="007E5CFA">
        <w:rPr>
          <w:rFonts w:ascii="Arial" w:eastAsia="Times New Roman" w:hAnsi="Arial" w:cs="Arial"/>
          <w:b/>
          <w:bCs/>
          <w:sz w:val="20"/>
          <w:szCs w:val="20"/>
        </w:rPr>
        <w:t>§60.9   Availability of information.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38"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15" name="Picture 15"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11" w:name="40:7.0.1.1.1.1.151.10"/>
      <w:bookmarkEnd w:id="11"/>
      <w:r w:rsidRPr="007E5CFA">
        <w:rPr>
          <w:rFonts w:ascii="Arial" w:eastAsia="Times New Roman" w:hAnsi="Arial" w:cs="Arial"/>
          <w:b/>
          <w:bCs/>
          <w:sz w:val="20"/>
          <w:szCs w:val="20"/>
        </w:rPr>
        <w:t>§60.10   State authority.</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The provisions of this part shall not be construed in any manner to preclude any State or political subdivision thereof from: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(a) Adopting and enforcing any emission standard or limitation applicable to an affected facility, provided that such emission standard or limitation is not less stringent than the standard applicable to such facility.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(b) Requiring the owner or operator of an affected facility to obtain permits, licenses, or approvals prior to initiating construction, modification, or operation of such facility. </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39"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14" name="Picture 14"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12" w:name="40:7.0.1.1.1.1.151.11"/>
      <w:bookmarkEnd w:id="12"/>
      <w:r w:rsidRPr="007E5CFA">
        <w:rPr>
          <w:rFonts w:ascii="Arial" w:eastAsia="Times New Roman" w:hAnsi="Arial" w:cs="Arial"/>
          <w:b/>
          <w:bCs/>
          <w:sz w:val="20"/>
          <w:szCs w:val="20"/>
        </w:rPr>
        <w:t>§60.11   Compliance with standards and maintenance requirements.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(a) Compliance with standards in this part, other than opacity standards, shall be determined in accordance with performance tests established by §60.8, unless otherwise specified in the applicable standard.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(c) The opacity standards set forth in this part shall apply at all times except during periods of startup, shutdown, malfunction, and as otherwise provided in the applicable standard.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Except as provided in paragraph (e</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 xml:space="preserve">3) of this section, the owner or operator of an affected facility to which an opacity standard in this part applies shall conduct opacity observations in accordance </w:t>
      </w:r>
      <w:r w:rsidRPr="007E5CFA">
        <w:rPr>
          <w:rFonts w:ascii="Arial" w:eastAsia="Times New Roman" w:hAnsi="Arial" w:cs="Arial"/>
          <w:sz w:val="20"/>
          <w:szCs w:val="20"/>
        </w:rPr>
        <w:lastRenderedPageBreak/>
        <w:t xml:space="preserve">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 xml:space="preserve">6). If, for some reason, the Administrator cannot determine and record the opacity of emissions from the affected facility during the performance test, then the provisions of paragraph (e)(1) of this section shall apply.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 Upon receipt from an owner or operator of the written reports of the results of the performance tests required by §60.8, the opacity observation results and observer certification required by §60.11(e</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 xml:space="preserv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w:t>
      </w:r>
      <w:r w:rsidRPr="007E5CFA">
        <w:rPr>
          <w:rFonts w:ascii="Arial" w:eastAsia="Times New Roman" w:hAnsi="Arial" w:cs="Arial"/>
          <w:sz w:val="20"/>
          <w:szCs w:val="20"/>
        </w:rPr>
        <w:lastRenderedPageBreak/>
        <w:t xml:space="preserve">associated air pollution control equipment were incapable of being adjusted or operated to meet the applicable opacity standard.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7E5CFA">
        <w:rPr>
          <w:rFonts w:ascii="Arial" w:eastAsia="Times New Roman" w:hAnsi="Arial" w:cs="Arial"/>
          <w:smallCaps/>
          <w:sz w:val="20"/>
          <w:szCs w:val="20"/>
        </w:rPr>
        <w:t>Federal Register.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(f) Special provisions set forth under an applicable subpart shall supersede any conflicting provisions in paragraphs (a) through (e)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40"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13" name="Picture 13"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13" w:name="40:7.0.1.1.1.1.151.12"/>
      <w:bookmarkEnd w:id="13"/>
      <w:r w:rsidRPr="007E5CFA">
        <w:rPr>
          <w:rFonts w:ascii="Arial" w:eastAsia="Times New Roman" w:hAnsi="Arial" w:cs="Arial"/>
          <w:b/>
          <w:bCs/>
          <w:sz w:val="20"/>
          <w:szCs w:val="20"/>
        </w:rPr>
        <w:t>§60.12   Circumvention.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 xml:space="preserve">[39 FR 9314, Mar. 8, 1974] </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41"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12" name="Picture 12"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14" w:name="40:7.0.1.1.1.1.151.13"/>
      <w:bookmarkEnd w:id="14"/>
      <w:r w:rsidRPr="007E5CFA">
        <w:rPr>
          <w:rFonts w:ascii="Arial" w:eastAsia="Times New Roman" w:hAnsi="Arial" w:cs="Arial"/>
          <w:b/>
          <w:bCs/>
          <w:sz w:val="20"/>
          <w:szCs w:val="20"/>
        </w:rPr>
        <w:t>§60.13   Monitoring requirements.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w:t>
      </w:r>
      <w:r w:rsidRPr="007E5CFA">
        <w:rPr>
          <w:rFonts w:ascii="Arial" w:eastAsia="Times New Roman" w:hAnsi="Arial" w:cs="Arial"/>
          <w:sz w:val="20"/>
          <w:szCs w:val="20"/>
        </w:rPr>
        <w:lastRenderedPageBreak/>
        <w:t xml:space="preserve">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The owner or operator of an affected facility using a COMS to determine opacity compliance during any performance test required under §60.8 and as described in §60.11(e</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 xml:space="preserve">5) shall furnish the Administrator two or, upon request, more copies of a written report of the results of the COMS performance evaluation described in paragraph (c) of this section at least 10 days before the performance test required under §60.8 is conducted.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(d)(1) Owners and operators of a CEMS installed in accordance with the provisions of this part, must check the zero (or low level value between 0 and 20 percent of span value) and span (50 to 100 percent of span value) calibration drifts at least once each operating day in accordance with a written procedure. The zero and span must, at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check the zero and upscale (span) calibration drifts at least once daily. For a particular COMS, the acceptable range of zero and upscale calibration materials is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(f) All continuous monitoring systems or monitoring devices shall be installed such that representative measurements of emissions or process parameters from the affected facility are obtained. </w:t>
      </w:r>
      <w:r w:rsidRPr="007E5CFA">
        <w:rPr>
          <w:rFonts w:ascii="Arial" w:eastAsia="Times New Roman" w:hAnsi="Arial" w:cs="Arial"/>
          <w:sz w:val="20"/>
          <w:szCs w:val="20"/>
        </w:rPr>
        <w:lastRenderedPageBreak/>
        <w:t xml:space="preserve">Additional procedures for location of continuous monitoring systems contained in the applicable Performance Specifications of appendix B of this part shall be used.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 Except as provided under paragraph (h)(2)(iii) of this section, for a full operating hour (any clock hour with 60 minutes of unit operation), at least four valid data points are required to calculate the hourly average, </w:t>
      </w:r>
      <w:r w:rsidRPr="007E5CFA">
        <w:rPr>
          <w:rFonts w:ascii="Arial" w:eastAsia="Times New Roman" w:hAnsi="Arial" w:cs="Arial"/>
          <w:i/>
          <w:iCs/>
          <w:sz w:val="20"/>
          <w:szCs w:val="20"/>
        </w:rPr>
        <w:t>i.e.</w:t>
      </w:r>
      <w:r w:rsidRPr="007E5CFA">
        <w:rPr>
          <w:rFonts w:ascii="Arial" w:eastAsia="Times New Roman" w:hAnsi="Arial" w:cs="Arial"/>
          <w:sz w:val="20"/>
          <w:szCs w:val="20"/>
        </w:rPr>
        <w:t>, one data point in each of the 15-minute quadrants of the hour.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(iii) For any operating hour in which required maintenance or quality-assurance activities are performed: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(A) If the unit operates in two or more quadrants of the hour, a minimum of two valid data points, separated by at least 15 minutes, is required to calculate the hourly average; or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(B) If the unit operates in only one quadrant of the hour, at least one valid data point is required to calculate the hourly average.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 For each full or partial operating hour, all valid data points shall be used to calculate the hourly average.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(vii) Owners and operators complying with the requirements of §60.7(f</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1) or (2) must include any data recorded during periods of monitor breakdown or malfunction in the data averages.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(viii) When specified in an applicable subpart, hourly averages for certain partial operating hours shall not be computed or included in the emission averages (e.g., hours with 30 minutes of unit operation under §60.47b(d)).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(ix) Either arithmetic or integrated averaging of all data may be used to calculate the hourly averages. The data may be recorded in reduced or nonreduced form (e.g., ppm pollutant and percent O</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 xml:space="preserve"> or ng/J of pollutant).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 After receipt and consideration of written application, the Administrator may approve alternatives to any monitoring procedures or requirements of this part including, but not limited to the following: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Alternative monitoring requirements when the affected facility is infrequently operated.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 Alternative monitoring requirements to accommodate continuous monitoring systems that require additional measurements to correct for stack moisture conditions.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 Alternative locations for installing continuous monitoring systems or monitoring devices when the owner or operator can demonstrate that installation at alternate locations will enable accurate and representative measurements.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(5) Alternative methods of converting pollutant concentration measurements to units of the standards.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(6) Alternative procedures for performing daily checks of zero and span drift that do not involve use of span gases or test cells.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(7) Alternatives to the A.S.T.M. test methods or sampling procedures specified by any subpart.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(9) Alternative monitoring requirements when the effluent from a single affected facility or the combined effluent from two or more affected facilities is released to the atmosphere through more than one point.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(j) An alternative to the relative accuracy (RA) test specified in Performance Specification 2 of appendix B may be requested as follows: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 xml:space="preserve">[40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 79 FR 11242, Feb. 27, 2014] </w:t>
      </w:r>
    </w:p>
    <w:p w:rsidR="007E5CFA" w:rsidRPr="007E5CFA" w:rsidRDefault="007E5CFA" w:rsidP="007E5CFA">
      <w:pPr>
        <w:spacing w:before="200" w:after="100" w:afterAutospacing="1" w:line="240" w:lineRule="auto"/>
        <w:ind w:firstLine="480"/>
        <w:rPr>
          <w:rFonts w:ascii="Arial" w:eastAsia="Times New Roman" w:hAnsi="Arial" w:cs="Arial"/>
          <w:sz w:val="20"/>
          <w:szCs w:val="20"/>
        </w:rPr>
      </w:pPr>
      <w:r w:rsidRPr="007E5CFA">
        <w:rPr>
          <w:rFonts w:ascii="Arial" w:eastAsia="Times New Roman" w:hAnsi="Arial" w:cs="Arial"/>
          <w:smallCaps/>
          <w:sz w:val="20"/>
          <w:szCs w:val="20"/>
        </w:rPr>
        <w:t>Editorial Note:</w:t>
      </w:r>
      <w:r w:rsidRPr="007E5CFA">
        <w:rPr>
          <w:rFonts w:ascii="Arial" w:eastAsia="Times New Roman" w:hAnsi="Arial" w:cs="Arial"/>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appear in the sixth sentence of paragraph (h). </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42"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11" name="Picture 11"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15" w:name="40:7.0.1.1.1.1.151.14"/>
      <w:bookmarkEnd w:id="15"/>
      <w:r w:rsidRPr="007E5CFA">
        <w:rPr>
          <w:rFonts w:ascii="Arial" w:eastAsia="Times New Roman" w:hAnsi="Arial" w:cs="Arial"/>
          <w:b/>
          <w:bCs/>
          <w:sz w:val="20"/>
          <w:szCs w:val="20"/>
        </w:rPr>
        <w:t>§60.14   Modification.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w:t>
      </w:r>
      <w:r w:rsidRPr="007E5CFA">
        <w:rPr>
          <w:rFonts w:ascii="Arial" w:eastAsia="Times New Roman" w:hAnsi="Arial" w:cs="Arial"/>
          <w:sz w:val="20"/>
          <w:szCs w:val="20"/>
        </w:rPr>
        <w:lastRenderedPageBreak/>
        <w:t xml:space="preserve">of the Act. Upon modification, an existing facility shall become an affected facility for each pollutant to which a standard applies and for which there is an increase in the emission rate to the atmosphere.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(b) Emission rate shall be expressed as kg/hr of any pollutant discharged into the atmosphere for which a standard is applicable. The Administrator shall use the following to determine emission rate: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(d) [Reserved]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(e) The following shall not, by themselves, be considered modifications under this part: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Maintenance, repair, and replacement which the Administrator determines to be routine for a source category, subject to the provisions of paragraph (c) of this section and §60.15.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An increase in production rate of an existing facility, if that increase can be accomplished without a capital expenditure on that facility.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 An increase in the hours of operation.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 xml:space="preserve">8) of the Act, shall not be considered a modification.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 xml:space="preserve">(6) The relocation or change in ownership of an existing facility.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(f) Special provisions set forth under an applicable subpart of this part shall supersede any conflicting provisions of this section.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(g) Within 180 days of the completion of any physical or operational change subject to the control measures specified in paragraph (a) of this section, compliance with all applicable standards must be achieved.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This exemption shall not apply to any new unit that: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 Is designated as a replacement for an existing unit;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(ii) Qualifies under section 409(b) of the Clean Air Act for an extension of an emission limitation compliance date under section 405 of the Clean Air Act; and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w:t>
      </w:r>
      <w:proofErr w:type="gramStart"/>
      <w:r w:rsidRPr="007E5CFA">
        <w:rPr>
          <w:rFonts w:ascii="Arial" w:eastAsia="Times New Roman" w:hAnsi="Arial" w:cs="Arial"/>
          <w:sz w:val="20"/>
          <w:szCs w:val="20"/>
        </w:rPr>
        <w:t>iii</w:t>
      </w:r>
      <w:proofErr w:type="gramEnd"/>
      <w:r w:rsidRPr="007E5CFA">
        <w:rPr>
          <w:rFonts w:ascii="Arial" w:eastAsia="Times New Roman" w:hAnsi="Arial" w:cs="Arial"/>
          <w:sz w:val="20"/>
          <w:szCs w:val="20"/>
        </w:rPr>
        <w:t xml:space="preserve">) Is located at a different site than the existing unit.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(k) The installation, operation, cessation, or removal of a temporary clean coal technology demonstration project is exempt from the requirements of this section. A </w:t>
      </w:r>
      <w:r w:rsidRPr="007E5CFA">
        <w:rPr>
          <w:rFonts w:ascii="Arial" w:eastAsia="Times New Roman" w:hAnsi="Arial" w:cs="Arial"/>
          <w:i/>
          <w:iCs/>
          <w:sz w:val="20"/>
          <w:szCs w:val="20"/>
        </w:rPr>
        <w:t>temporary clean coal control technology demonstration project,</w:t>
      </w:r>
      <w:r w:rsidRPr="007E5CFA">
        <w:rPr>
          <w:rFonts w:ascii="Arial" w:eastAsia="Times New Roman" w:hAnsi="Arial" w:cs="Arial"/>
          <w:sz w:val="20"/>
          <w:szCs w:val="20"/>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(l) The reactivation of a very clean coal-fired electric utility steam generating unit is exempt from the requirements of this section.</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[40 FR 58419, Dec. 16, 1975, as amended at 43 FR 34347, Aug. 3, 1978; 45 FR 5617, Jan. 23, 1980; 57 FR 32339, July 21, 1992; 65 FR 61750, Oct. 17, 2000]</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43"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10" name="Picture 10"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16" w:name="40:7.0.1.1.1.1.151.15"/>
      <w:bookmarkEnd w:id="16"/>
      <w:r w:rsidRPr="007E5CFA">
        <w:rPr>
          <w:rFonts w:ascii="Arial" w:eastAsia="Times New Roman" w:hAnsi="Arial" w:cs="Arial"/>
          <w:b/>
          <w:bCs/>
          <w:sz w:val="20"/>
          <w:szCs w:val="20"/>
        </w:rPr>
        <w:t>§60.15   Reconstruction.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 xml:space="preserve">(a) An existing facility, upon reconstruction, becomes an affected facility, irrespective of any change in emission rate.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(b) “Reconstruction” means the replacement of components of an existing facility to such an extent that: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The fixed capital cost of the new components exceeds 50 percent of the fixed capital cost that would be required to construct a comparable entirely new facility, and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It is technologically and economically feasible to meet the applicable standards set forth in this part.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(c) “Fixed capital cost” means the capital needed to provide all the depreciable components.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Name and address of the owner or operator.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The location of the existing facility.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 A brief description of the existing facility and the components which are to be replaced.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 A description of the existing air pollution control equipment and the proposed air pollution control equipment.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(5) An estimate of the fixed capital cost of the replacements and of constructing a comparable entirely new facility.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(6) The estimated life of the existing facility after the replacements.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(7) A discussion of any economic or technical limitations the facility may have in complying with the applicable standards of performance after the proposed replacements.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(f) The Administrator's determination under paragraph (e) shall be based 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The fixed capital cost of the replacements in comparison to the fixed capital cost that would be required to construct a comparable entirely new facility;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The estimated life of the facility after the replacements compared to the life of a comparable entirely new facility;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 The extent to which the components being replaced cause or contribute to the emissions from the facility; and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 xml:space="preserve">(4) Any economic or technical limitations on compliance with applicable standards of performance which are inherent in the proposed replacements.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(g) Individual subparts of this part may include specific provisions which refine and delimit the concept of reconstruction set forth in this section. </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[40 FR 58420, Dec. 16, 1975]</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44"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9" name="Picture 9"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17" w:name="40:7.0.1.1.1.1.151.16"/>
      <w:bookmarkEnd w:id="17"/>
      <w:r w:rsidRPr="007E5CFA">
        <w:rPr>
          <w:rFonts w:ascii="Arial" w:eastAsia="Times New Roman" w:hAnsi="Arial" w:cs="Arial"/>
          <w:b/>
          <w:bCs/>
          <w:sz w:val="20"/>
          <w:szCs w:val="20"/>
        </w:rPr>
        <w:t>§60.16   Priority list.</w:t>
      </w:r>
    </w:p>
    <w:p w:rsidR="007E5CFA" w:rsidRPr="007E5CFA" w:rsidRDefault="007E5CFA" w:rsidP="007E5CFA">
      <w:pPr>
        <w:spacing w:before="100" w:beforeAutospacing="1" w:after="100" w:afterAutospacing="1" w:line="240" w:lineRule="auto"/>
        <w:ind w:firstLine="480"/>
        <w:rPr>
          <w:rFonts w:ascii="Arial" w:eastAsia="Times New Roman" w:hAnsi="Arial" w:cs="Arial"/>
          <w:b/>
          <w:bCs/>
          <w:smallCaps/>
          <w:sz w:val="20"/>
          <w:szCs w:val="20"/>
        </w:rPr>
      </w:pPr>
      <w:r w:rsidRPr="007E5CFA">
        <w:rPr>
          <w:rFonts w:ascii="Arial" w:eastAsia="Times New Roman" w:hAnsi="Arial" w:cs="Arial"/>
          <w:b/>
          <w:bCs/>
          <w:smallCaps/>
          <w:sz w:val="20"/>
          <w:szCs w:val="20"/>
        </w:rPr>
        <w:t>Prioritized Major Source Categories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39"/>
        <w:gridCol w:w="8005"/>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i/>
                <w:iCs/>
                <w:sz w:val="20"/>
                <w:szCs w:val="20"/>
              </w:rPr>
              <w:t>Priority Number</w:t>
            </w:r>
            <w:r w:rsidRPr="007E5CFA">
              <w:rPr>
                <w:rFonts w:ascii="Arial" w:eastAsia="Times New Roman" w:hAnsi="Arial" w:cs="Arial"/>
                <w:b/>
                <w:bCs/>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i/>
                <w:iCs/>
                <w:sz w:val="20"/>
                <w:szCs w:val="20"/>
              </w:rPr>
              <w:t>Source Category</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Synthetic Organic Chemical Manufacturing Industry (SOCMI) and Volatile Organic Liquid Storage Vessels and Handling Equipment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(a) SOCMI unit processes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(b) Volatile organic liquid (VOL) storage vessels and handling equipment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(c) SOCMI fugitive sources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(d) SOCMI secondary sources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Cans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Refineries: Fugitive Sources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Paper</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Dry Cleaning</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 Perchloroethylene</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 Petroleum solvent</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Graphic Arts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Polymers and Resins: Acrylic Resins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Mineral Wool (Deleted)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Internal Combustion Engines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Fabric</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Industrial-Commercial-Institutional Steam Generating Units.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Incineration: Non-Municipal (Deleted)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Non-Metallic Mineral Processing</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Metallic Mineral Processing</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Copper (Deleted)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Phosphate Rock Preparation</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17.</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Foundries: Steel and Gray Iron</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Polymers and Resins: Polyethylene</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Charcoal Production</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Rubber</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 Tire manufacture</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 SBR production</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Vegetable Oil</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Metal Coil</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Petroleum Transportation and Marketing</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By-Product Coke Ovens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Synthetic Fibers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Plywood Manufacture</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Automobiles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Large Appliances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Crude Oil and Natural Gas Production</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Aluminum</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Potash (Deleted)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Lightweight Aggregate Industry: Clay, Shale, and Slate</w:t>
            </w:r>
            <w:r w:rsidRPr="007E5CFA">
              <w:rPr>
                <w:rFonts w:ascii="Arial" w:eastAsia="Times New Roman" w:hAnsi="Arial" w:cs="Arial"/>
                <w:sz w:val="20"/>
                <w:szCs w:val="20"/>
                <w:vertAlign w:val="superscript"/>
              </w:rPr>
              <w:t>2</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Glass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Gypsum</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Sodium Carbonate</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Secondary Zinc (Deleted)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Polymers and Resins: Phenolic</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Polymers and Resins: Urea-Melamine</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Ammonia (Deleted)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Polymers and Resins: Polystyrene</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Polymers and Resins: ABS-SAN Resins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Fiberglass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Polymers and Resins: Polypropylene</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Textile Processing</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Asphalt Processing and Asphalt Roofing Manufacture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Brick and Related Clay Products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Ceramic Clay Manufacturing (Deleted)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Nitrate Fertilizer</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lastRenderedPageBreak/>
              <w:t>49.</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Castable Refractories (Deleted)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Borax and Boric Acid (Deleted)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Polymers and Resins: Polyester Resins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Ammonium Sulfate</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Starch</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Perlite</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Phosphoric Acid: Thermal Process (Deleted)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Uranium Refining</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Animal Feed Defluorination (Deleted)</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Urea (for fertilizer and polymers)</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Detergent (Deleted)</w:t>
            </w:r>
          </w:p>
        </w:tc>
      </w:tr>
      <w:tr w:rsidR="007E5CFA" w:rsidRPr="007E5CFA" w:rsidTr="007E5CF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i/>
                <w:iCs/>
                <w:sz w:val="20"/>
                <w:szCs w:val="20"/>
              </w:rPr>
              <w:t>Other Source Categories</w:t>
            </w:r>
          </w:p>
        </w:tc>
      </w:tr>
      <w:tr w:rsidR="007E5CFA" w:rsidRPr="007E5CFA" w:rsidTr="007E5CF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Lead acid battery manufacture</w:t>
            </w:r>
            <w:r w:rsidRPr="007E5CFA">
              <w:rPr>
                <w:rFonts w:ascii="Arial" w:eastAsia="Times New Roman" w:hAnsi="Arial" w:cs="Arial"/>
                <w:sz w:val="20"/>
                <w:szCs w:val="20"/>
                <w:vertAlign w:val="superscript"/>
              </w:rPr>
              <w:t>3</w:t>
            </w:r>
          </w:p>
        </w:tc>
      </w:tr>
      <w:tr w:rsidR="007E5CFA" w:rsidRPr="007E5CFA" w:rsidTr="007E5CF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Organic solvent cleaning</w:t>
            </w:r>
            <w:r w:rsidRPr="007E5CFA">
              <w:rPr>
                <w:rFonts w:ascii="Arial" w:eastAsia="Times New Roman" w:hAnsi="Arial" w:cs="Arial"/>
                <w:sz w:val="20"/>
                <w:szCs w:val="20"/>
                <w:vertAlign w:val="superscript"/>
              </w:rPr>
              <w:t>3</w:t>
            </w:r>
          </w:p>
        </w:tc>
      </w:tr>
      <w:tr w:rsidR="007E5CFA" w:rsidRPr="007E5CFA" w:rsidTr="007E5CF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Industrial surface coating: metal furniture</w:t>
            </w:r>
            <w:r w:rsidRPr="007E5CFA">
              <w:rPr>
                <w:rFonts w:ascii="Arial" w:eastAsia="Times New Roman" w:hAnsi="Arial" w:cs="Arial"/>
                <w:sz w:val="20"/>
                <w:szCs w:val="20"/>
                <w:vertAlign w:val="superscript"/>
              </w:rPr>
              <w:t>3</w:t>
            </w:r>
          </w:p>
        </w:tc>
      </w:tr>
      <w:tr w:rsidR="007E5CFA" w:rsidRPr="007E5CFA" w:rsidTr="007E5CF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Stationary gas turbines</w:t>
            </w:r>
            <w:r w:rsidRPr="007E5CFA">
              <w:rPr>
                <w:rFonts w:ascii="Arial" w:eastAsia="Times New Roman" w:hAnsi="Arial" w:cs="Arial"/>
                <w:sz w:val="20"/>
                <w:szCs w:val="20"/>
                <w:vertAlign w:val="superscript"/>
              </w:rPr>
              <w:t>4</w:t>
            </w:r>
          </w:p>
        </w:tc>
      </w:tr>
      <w:tr w:rsidR="007E5CFA" w:rsidRPr="007E5CFA" w:rsidTr="007E5CFA">
        <w:trPr>
          <w:jc w:val="center"/>
        </w:trPr>
        <w:tc>
          <w:tcPr>
            <w:tcW w:w="0" w:type="auto"/>
            <w:gridSpan w:val="2"/>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Municipal solid waste landfills</w:t>
            </w:r>
            <w:r w:rsidRPr="007E5CFA">
              <w:rPr>
                <w:rFonts w:ascii="Arial" w:eastAsia="Times New Roman" w:hAnsi="Arial" w:cs="Arial"/>
                <w:sz w:val="20"/>
                <w:szCs w:val="20"/>
                <w:vertAlign w:val="superscript"/>
              </w:rPr>
              <w:t>4</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1</w:t>
      </w:r>
      <w:r w:rsidRPr="007E5CFA">
        <w:rPr>
          <w:rFonts w:ascii="Arial" w:eastAsia="Times New Roman" w:hAnsi="Arial" w:cs="Arial"/>
          <w:sz w:val="20"/>
          <w:szCs w:val="20"/>
        </w:rPr>
        <w:t xml:space="preserve">Low numbers have highest priority, e.g., No. 1 is high priority, </w:t>
      </w:r>
      <w:proofErr w:type="gramStart"/>
      <w:r w:rsidRPr="007E5CFA">
        <w:rPr>
          <w:rFonts w:ascii="Arial" w:eastAsia="Times New Roman" w:hAnsi="Arial" w:cs="Arial"/>
          <w:sz w:val="20"/>
          <w:szCs w:val="20"/>
        </w:rPr>
        <w:t>No</w:t>
      </w:r>
      <w:proofErr w:type="gramEnd"/>
      <w:r w:rsidRPr="007E5CFA">
        <w:rPr>
          <w:rFonts w:ascii="Arial" w:eastAsia="Times New Roman" w:hAnsi="Arial" w:cs="Arial"/>
          <w:sz w:val="20"/>
          <w:szCs w:val="20"/>
        </w:rPr>
        <w:t>. 59 is low priority.</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2</w:t>
      </w:r>
      <w:r w:rsidRPr="007E5CFA">
        <w:rPr>
          <w:rFonts w:ascii="Arial" w:eastAsia="Times New Roman" w:hAnsi="Arial" w:cs="Arial"/>
          <w:sz w:val="20"/>
          <w:szCs w:val="20"/>
        </w:rPr>
        <w:t>Formerly titled “Sintering: Clay and Fly Ash”.</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3</w:t>
      </w:r>
      <w:r w:rsidRPr="007E5CFA">
        <w:rPr>
          <w:rFonts w:ascii="Arial" w:eastAsia="Times New Roman" w:hAnsi="Arial" w:cs="Arial"/>
          <w:sz w:val="20"/>
          <w:szCs w:val="20"/>
        </w:rPr>
        <w:t>Minor source category, but included on list since an NSPS is being developed for that source category.</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vertAlign w:val="superscript"/>
        </w:rPr>
        <w:t>4</w:t>
      </w:r>
      <w:r w:rsidRPr="007E5CFA">
        <w:rPr>
          <w:rFonts w:ascii="Arial" w:eastAsia="Times New Roman" w:hAnsi="Arial" w:cs="Arial"/>
          <w:sz w:val="20"/>
          <w:szCs w:val="20"/>
        </w:rPr>
        <w:t>Not prioritized, since an NSPS for this major source category has already been promulgated.</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 xml:space="preserve">[47 FR 951, Jan. 8, 1982, as amended at 47 FR 31876, July 23, 1982; 51 FR 42796, Nov. 25, 1986; 52 FR 11428, Apr. 8, 1987; 61 FR 9919, Mar. 12, 1996] </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45"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8" name="Picture 8"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18" w:name="40:7.0.1.1.1.1.151.17"/>
      <w:bookmarkEnd w:id="18"/>
      <w:r w:rsidRPr="007E5CFA">
        <w:rPr>
          <w:rFonts w:ascii="Arial" w:eastAsia="Times New Roman" w:hAnsi="Arial" w:cs="Arial"/>
          <w:b/>
          <w:bCs/>
          <w:sz w:val="20"/>
          <w:szCs w:val="20"/>
        </w:rPr>
        <w:t>§60.17   Incorporations by reference.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7E5CFA">
        <w:rPr>
          <w:rFonts w:ascii="Arial" w:eastAsia="Times New Roman" w:hAnsi="Arial" w:cs="Arial"/>
          <w:smallCaps/>
          <w:sz w:val="20"/>
          <w:szCs w:val="20"/>
        </w:rPr>
        <w:t>Federal Register</w:t>
      </w:r>
      <w:r w:rsidRPr="007E5CFA">
        <w:rPr>
          <w:rFonts w:ascii="Arial" w:eastAsia="Times New Roman" w:hAnsi="Arial" w:cs="Arial"/>
          <w:sz w:val="20"/>
          <w:szCs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w:t>
      </w:r>
      <w:r w:rsidRPr="007E5CFA">
        <w:rPr>
          <w:rFonts w:ascii="Arial" w:eastAsia="Times New Roman" w:hAnsi="Arial" w:cs="Arial"/>
          <w:sz w:val="20"/>
          <w:szCs w:val="20"/>
        </w:rPr>
        <w:lastRenderedPageBreak/>
        <w:t xml:space="preserve">(202) 741-6030 or go to </w:t>
      </w:r>
      <w:r w:rsidRPr="007E5CFA">
        <w:rPr>
          <w:rFonts w:ascii="Arial" w:eastAsia="Times New Roman" w:hAnsi="Arial" w:cs="Arial"/>
          <w:i/>
          <w:iCs/>
          <w:sz w:val="20"/>
          <w:szCs w:val="20"/>
        </w:rPr>
        <w:t>http://www.archives.gov/federal_register/code_of_federal_regulations/ibr_locations.html.</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(b) American Gas Association, available through ILI Infodisk, 610 Winters Avenue, Paramus, New Jersey 07652: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American Gas Association Report No. 3: Orifice Metering for Natural Gas and Other Related Hydrocarbon Fluids, Part 1: General Equations and Uncertainty Guidelines (1990),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American Gas Association Report No. 3: Orifice Metering for Natural Gas and Other Related Hydrocarbon Fluids, Part 2: Specification and Installation Requirements (2000),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American Gas Association Report No. 11: Measurement of Natural Gas by Coriolis Meter (2003),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(4) American Gas Association Transmission Measurement Committee Report No. 7: Measurement of Gas by Turbine Meters (Revised February 2006),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(c) American Hospital Association (AHA) Service, Inc., Post Office Box 92683, Chicago, Illinois 60675-2683. You may inspect a copy at the EPA's Air and Radiation Docket and Information Center (Docket A-91-61, Item IV-J-124), Room M-1500, 1200 Pennsylvania Ave. NW., Washington, DC 20460.</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[Reserved]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(d) American Petroleum Institute (API), 1220 L Street NW., Washington, DC 20005.</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API Publication 2517, Evaporation Loss from External Floating Roof Tanks, Second Edition, February 1980, IBR approved for §§60.111(i), 60.111a(f), and 60.116b(e).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API Manual of Petroleum Measurement Standards, Chapter 22—Testing Protocol, Section 2—Differential Pressure Flow Measurement Devices, First Edition, August 2005,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(e) American Public Health Association, 1015 18th Street </w:t>
      </w:r>
      <w:proofErr w:type="gramStart"/>
      <w:r w:rsidRPr="007E5CFA">
        <w:rPr>
          <w:rFonts w:ascii="Arial" w:eastAsia="Times New Roman" w:hAnsi="Arial" w:cs="Arial"/>
          <w:sz w:val="20"/>
          <w:szCs w:val="20"/>
        </w:rPr>
        <w:t>NW.,</w:t>
      </w:r>
      <w:proofErr w:type="gramEnd"/>
      <w:r w:rsidRPr="007E5CFA">
        <w:rPr>
          <w:rFonts w:ascii="Arial" w:eastAsia="Times New Roman" w:hAnsi="Arial" w:cs="Arial"/>
          <w:sz w:val="20"/>
          <w:szCs w:val="20"/>
        </w:rPr>
        <w:t xml:space="preserve"> Washington, DC 20036.</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“Standard Methods for the Examination of Water and Wastewater,” 16th edition, 1985. Method 303F: “Determination of Mercury by the Cold Vapor Technique.” Incorporated by reference for appendix A-8 to part 60, Method 29, §§9.2.3, 10.3, and 11.1.3.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2540 G. Total, Fixed, and Volatile Solids in Solid and Semisolid Samples, in Standard Methods for the Examination of Water and Wastewater, 20th Edition, 1998, IBR approved for §60.154(b).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(f) American Society of Mechanical Engineers (ASME), Three Park Avenue, New York, NY 10016-5990, Telephone (800) 843-2763, </w:t>
      </w:r>
      <w:r w:rsidRPr="007E5CFA">
        <w:rPr>
          <w:rFonts w:ascii="Arial" w:eastAsia="Times New Roman" w:hAnsi="Arial" w:cs="Arial"/>
          <w:i/>
          <w:iCs/>
          <w:sz w:val="20"/>
          <w:szCs w:val="20"/>
        </w:rPr>
        <w:t>http://www.asme.org.</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(1) ASME Interim Supplement 19.5 on Instruments and Apparatus: Application, Part II of Fluid Meters, 6th Edition (1971), IBR approved for §§</w:t>
      </w:r>
      <w:proofErr w:type="gramStart"/>
      <w:r w:rsidRPr="007E5CFA">
        <w:rPr>
          <w:rFonts w:ascii="Arial" w:eastAsia="Times New Roman" w:hAnsi="Arial" w:cs="Arial"/>
          <w:sz w:val="20"/>
          <w:szCs w:val="20"/>
        </w:rPr>
        <w:t>60.58a(</w:t>
      </w:r>
      <w:proofErr w:type="gramEnd"/>
      <w:r w:rsidRPr="007E5CFA">
        <w:rPr>
          <w:rFonts w:ascii="Arial" w:eastAsia="Times New Roman" w:hAnsi="Arial" w:cs="Arial"/>
          <w:sz w:val="20"/>
          <w:szCs w:val="20"/>
        </w:rPr>
        <w:t>h), 60.58b(i), 60.1320(a), and 60.1810(a).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ASME MFC-3M-2004, Measurement of Fluid Flow in Pipes Using Orifice, Nozzle, and Venturi,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ASME/ANSI MFC-4M-1986 (Reaffirmed 2008), Measurement of Gas Flow by Turbine Meters,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(4) ASME/ANSI MFC-5M-1985 (Reaffirmed 2006), Measurement of Liquid Flow in Closed Conduits Using Transit-Time Ultrasonic Flowmeters,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 ASME MFC-6M-1998 (Reaffirmed 2005), Measurement of Fluid Flow in Pipes Using Vortex Flowmeters,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 ASME/ANSI MFC-7M-1987 (Reaffirmed 2006), Measurement of Gas Flow by Means of Critical Flow Venturi Nozzles,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 ASME/ANSI MFC-9M-1988 (Reaffirmed 2006), Measurement of Liquid Flow in Closed Conduits by Weighing Method,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(8) ASME MFC-11M-2006, Measurement of Fluid Flow by Means of Coriolis Mass Flowmeters,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(9) ASME MFC-14M-2003, Measurement of Fluid Flow Using Small Bore Precision Orifice Meters,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(10) ASME MFC-16-2007, Measurement of Liquid Flow in Closed Conduits with Electromagnetic Flowmeters,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(11) ASME MFC-18M-2001, Measurement of Fluid Flow Using Variable Area Meters,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(12) ASME MFC-22-2007, Measurement of Liquid by Turbine Flowmeters,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(13) ASME PTC 4.1-1964 (Reaffirmed 1991), Power Test Codes: Test Code for Steam Generating Units (with 1968 and 1969 Addenda), IBR approved for §§60.46b, </w:t>
      </w:r>
      <w:proofErr w:type="gramStart"/>
      <w:r w:rsidRPr="007E5CFA">
        <w:rPr>
          <w:rFonts w:ascii="Arial" w:eastAsia="Times New Roman" w:hAnsi="Arial" w:cs="Arial"/>
          <w:sz w:val="20"/>
          <w:szCs w:val="20"/>
        </w:rPr>
        <w:t>60.58a(</w:t>
      </w:r>
      <w:proofErr w:type="gramEnd"/>
      <w:r w:rsidRPr="007E5CFA">
        <w:rPr>
          <w:rFonts w:ascii="Arial" w:eastAsia="Times New Roman" w:hAnsi="Arial" w:cs="Arial"/>
          <w:sz w:val="20"/>
          <w:szCs w:val="20"/>
        </w:rPr>
        <w:t>h), 60.58b(i), 60.1320(a), and 60.1810(a).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(14) ASME/ANSI PTC 19.10-1981, Flue and Exhaust Gas Analyses [Part 10, Instruments and Apparatus], (Issued August 31, 1981), IBR approved for §§60.56c(b), 60.63(f), 60.106(e), 60.104a(d), (h), (i), and (j), 60.105a(d), (f), and (g), §60.106a(a), §60.107a(a), (c), and (d), tables 1 and 3 to subpart EEEE, tables 2 and 4 to subpart FFFF, table 2 to subpart JJJJ, §§60.4415(a), 60.2145(s) and (t), 60.2710(s), (t), and (w), 60.2730(q), 60.4900(b), 60.5220(b), tables 1 and 2 to subpart LLLL, tables 2 and 3 to subpart MMMM, §§60.5406(c) and 60.5413(b).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(15) ASME QRO-1-1994, Standard for the Qualification and Certification of Resource Recovery Facility Operators, IBR approved for §§</w:t>
      </w:r>
      <w:proofErr w:type="gramStart"/>
      <w:r w:rsidRPr="007E5CFA">
        <w:rPr>
          <w:rFonts w:ascii="Arial" w:eastAsia="Times New Roman" w:hAnsi="Arial" w:cs="Arial"/>
          <w:sz w:val="20"/>
          <w:szCs w:val="20"/>
        </w:rPr>
        <w:t>60.54b(</w:t>
      </w:r>
      <w:proofErr w:type="gramEnd"/>
      <w:r w:rsidRPr="007E5CFA">
        <w:rPr>
          <w:rFonts w:ascii="Arial" w:eastAsia="Times New Roman" w:hAnsi="Arial" w:cs="Arial"/>
          <w:sz w:val="20"/>
          <w:szCs w:val="20"/>
        </w:rPr>
        <w:t>a) and (b), 60.56a, 60.1185(a) and (c), and 60.1675(a) and (c).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(g) American Society for Testing and Materials (ASTM), 100 Barr Harbor Drive, Post Office Box C700, West Conshohocken, PA 19428-2959; also available through ProQuest, 300 North Zeeb Road, Ann Arbor, MI 48106.</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ASTM A99-76, Standard Specification for Ferromanganese, IBR approved for §60.261.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ASTM A99-82 (Reapproved 1987), Standard Specification for Ferromanganese, IBR approved for §60.261.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ASTM A100-69, Standard Specification for Ferrosilicon, IBR approved for §60.261.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(4) ASTM A100-74, Standard Specification for Ferrosilicon, IBR approved for §60.261.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 ASTM A100-93, Standard Specification for Ferrosilicon, IBR approved for §60.261.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 ASTM A101-73, Standard Specification for Ferrochromium, IBR approved for §60.261.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 ASTM A101-93, Standard Specification for Ferrochromium, IBR approved for §60.261.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(8) ASTM A482-76, Standard Specification for Ferrochromesilicon, IBR approved for §60.261.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(9) ASTM A482-93, Standard Specification for Ferrochromesilicon, IBR approved for §60.261.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(10) ASTM A483-64, Standard Specification for Silicomanganese, IBR approved for §60.261.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(11) ASTM A483-74 (Reapproved 1988), Standard Specification for Silicomanganese, IBR approved for §60.261.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(12) ASTM A495-76, Standard Specification for Calcium-Silicon and Calcium Manganese-Silicon, IBR approved for §60.261.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(13) ASTM A495-94, Standard Specification for Calcium-Silicon and Calcium Manganese-Silicon, IBR approved for §60.261.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(14) ASTM D86-78, Distillation of Petroleum Products, IBR approved for §§60.562-2(d), 60.593(d), </w:t>
      </w:r>
      <w:proofErr w:type="gramStart"/>
      <w:r w:rsidRPr="007E5CFA">
        <w:rPr>
          <w:rFonts w:ascii="Arial" w:eastAsia="Times New Roman" w:hAnsi="Arial" w:cs="Arial"/>
          <w:sz w:val="20"/>
          <w:szCs w:val="20"/>
        </w:rPr>
        <w:t>60.593a(</w:t>
      </w:r>
      <w:proofErr w:type="gramEnd"/>
      <w:r w:rsidRPr="007E5CFA">
        <w:rPr>
          <w:rFonts w:ascii="Arial" w:eastAsia="Times New Roman" w:hAnsi="Arial" w:cs="Arial"/>
          <w:sz w:val="20"/>
          <w:szCs w:val="20"/>
        </w:rPr>
        <w:t>d), 60.633(h).</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(15) ASTM D86-82, Distillation of Petroleum Products, IBR approved for §§60.562-2(d), 60.593(d), </w:t>
      </w:r>
      <w:proofErr w:type="gramStart"/>
      <w:r w:rsidRPr="007E5CFA">
        <w:rPr>
          <w:rFonts w:ascii="Arial" w:eastAsia="Times New Roman" w:hAnsi="Arial" w:cs="Arial"/>
          <w:sz w:val="20"/>
          <w:szCs w:val="20"/>
        </w:rPr>
        <w:t>60.593a(</w:t>
      </w:r>
      <w:proofErr w:type="gramEnd"/>
      <w:r w:rsidRPr="007E5CFA">
        <w:rPr>
          <w:rFonts w:ascii="Arial" w:eastAsia="Times New Roman" w:hAnsi="Arial" w:cs="Arial"/>
          <w:sz w:val="20"/>
          <w:szCs w:val="20"/>
        </w:rPr>
        <w:t>d), 60.633(h).</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(16) ASTM D86-90, Distillation of Petroleum Products, IBR approved for §§60.562-2(d), 60.593(d), </w:t>
      </w:r>
      <w:proofErr w:type="gramStart"/>
      <w:r w:rsidRPr="007E5CFA">
        <w:rPr>
          <w:rFonts w:ascii="Arial" w:eastAsia="Times New Roman" w:hAnsi="Arial" w:cs="Arial"/>
          <w:sz w:val="20"/>
          <w:szCs w:val="20"/>
        </w:rPr>
        <w:t>60.593a(</w:t>
      </w:r>
      <w:proofErr w:type="gramEnd"/>
      <w:r w:rsidRPr="007E5CFA">
        <w:rPr>
          <w:rFonts w:ascii="Arial" w:eastAsia="Times New Roman" w:hAnsi="Arial" w:cs="Arial"/>
          <w:sz w:val="20"/>
          <w:szCs w:val="20"/>
        </w:rPr>
        <w:t>d), 60.633(h).</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(17) ASTM D86-93, Distillation of Petroleum Products, IBR approved for §§60.562-2(d), 60.593(d), </w:t>
      </w:r>
      <w:proofErr w:type="gramStart"/>
      <w:r w:rsidRPr="007E5CFA">
        <w:rPr>
          <w:rFonts w:ascii="Arial" w:eastAsia="Times New Roman" w:hAnsi="Arial" w:cs="Arial"/>
          <w:sz w:val="20"/>
          <w:szCs w:val="20"/>
        </w:rPr>
        <w:t>60.593a(</w:t>
      </w:r>
      <w:proofErr w:type="gramEnd"/>
      <w:r w:rsidRPr="007E5CFA">
        <w:rPr>
          <w:rFonts w:ascii="Arial" w:eastAsia="Times New Roman" w:hAnsi="Arial" w:cs="Arial"/>
          <w:sz w:val="20"/>
          <w:szCs w:val="20"/>
        </w:rPr>
        <w:t>d), 60.633(h).</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(18) ASTM D86-95, Distillation of Petroleum Products, IBR approved for §§60.562-2(d), 60.593(d), </w:t>
      </w:r>
      <w:proofErr w:type="gramStart"/>
      <w:r w:rsidRPr="007E5CFA">
        <w:rPr>
          <w:rFonts w:ascii="Arial" w:eastAsia="Times New Roman" w:hAnsi="Arial" w:cs="Arial"/>
          <w:sz w:val="20"/>
          <w:szCs w:val="20"/>
        </w:rPr>
        <w:t>60.593a(</w:t>
      </w:r>
      <w:proofErr w:type="gramEnd"/>
      <w:r w:rsidRPr="007E5CFA">
        <w:rPr>
          <w:rFonts w:ascii="Arial" w:eastAsia="Times New Roman" w:hAnsi="Arial" w:cs="Arial"/>
          <w:sz w:val="20"/>
          <w:szCs w:val="20"/>
        </w:rPr>
        <w:t>d), 60.633(h).</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(19) ASTM D86-96, Distillation of Petroleum Products, (Approved April 10, 1996), IBR approved for §§60.562-2(d), 60.593(d), </w:t>
      </w:r>
      <w:proofErr w:type="gramStart"/>
      <w:r w:rsidRPr="007E5CFA">
        <w:rPr>
          <w:rFonts w:ascii="Arial" w:eastAsia="Times New Roman" w:hAnsi="Arial" w:cs="Arial"/>
          <w:sz w:val="20"/>
          <w:szCs w:val="20"/>
        </w:rPr>
        <w:t>60.593a(</w:t>
      </w:r>
      <w:proofErr w:type="gramEnd"/>
      <w:r w:rsidRPr="007E5CFA">
        <w:rPr>
          <w:rFonts w:ascii="Arial" w:eastAsia="Times New Roman" w:hAnsi="Arial" w:cs="Arial"/>
          <w:sz w:val="20"/>
          <w:szCs w:val="20"/>
        </w:rPr>
        <w:t>d), 60.633(h), and 60.5401(f).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(20) ASTM D129-64, Standard Test Method for Sulfur in Petroleum Products (General Bomb Method), IBR approved for §§60.106(j) and appendix A-7 to part 60: Method 19, Section 12.5.2.2.3.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(21) ASTM D129-78, Standard Test Method for Sulfur in Petroleum Products (General Bomb Method), IBR approved for §§60.106(j) and appendix A-7 to part 60: Method 19, Section 12.5.2.2.3.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(22) ASTM D129-95, Standard Test Method for Sulfur in Petroleum Products (General Bomb Method), IBR approved for §§60.106(j) and appendix A-7 to part 60: Method 19, Section 12.5.2.2.3.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(23) ASTM D129-00, Standard Test Method for Sulfur in Petroleum Products (General Bomb Method), IBR approved for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(24) ASTM D129-00 (Reapproved 2005), Standard Test Method for Sulfur in Petroleum Products (General Bomb Method), IBR approved for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(25) ASTM D240-76, Standard Test Method for Heat of Combustion of Liquid Hydrocarbon Fuels by Bomb Calorimeter, IBR approved for §§60.46(c), 60.296(b), and appendix A-7 to part 60: Method 19, Section 12.5.2.2.3.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(26) ASTM D240-92, Standard Test Method for Heat of Combustion of Liquid Hydrocarbon Fuels by Bomb Calorimeter, IBR approved for §§60.46(c), 60.296(b), and appendix A-7: Method 19, Section 12.5.2.2.3.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(27) ASTM D240-02 (Reapproved 2007), Standard Test Method for Heat of Combustion of Liquid Hydrocarbon Fuels by Bomb Calorimeter, (Approved May 1, 2007),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(28) ASTM D270-65, Standard Method of Sampling Petroleum and Petroleum Products, IBR approved for appendix A-7 to part 60: Method 19, Section 12.5.2.2.1.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(29) ASTM D270-75, Standard Method of Sampling Petroleum and Petroleum Products, IBR approved for appendix A-7 to part 60: Method 19, Section 12.5.2.2.1.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(30) ASTM D323-82, Test Method for Vapor Pressure of Petroleum Products (Reid Method), IBR approved for §§60.111(l), </w:t>
      </w:r>
      <w:proofErr w:type="gramStart"/>
      <w:r w:rsidRPr="007E5CFA">
        <w:rPr>
          <w:rFonts w:ascii="Arial" w:eastAsia="Times New Roman" w:hAnsi="Arial" w:cs="Arial"/>
          <w:sz w:val="20"/>
          <w:szCs w:val="20"/>
        </w:rPr>
        <w:t>60.111a(</w:t>
      </w:r>
      <w:proofErr w:type="gramEnd"/>
      <w:r w:rsidRPr="007E5CFA">
        <w:rPr>
          <w:rFonts w:ascii="Arial" w:eastAsia="Times New Roman" w:hAnsi="Arial" w:cs="Arial"/>
          <w:sz w:val="20"/>
          <w:szCs w:val="20"/>
        </w:rPr>
        <w:t>g), 60.111b, and 60.116b(f).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(31) ASTM D323-94, Test Method for Vapor Pressure of Petroleum Products (Reid Method), IBR approved for §§60.111(l), </w:t>
      </w:r>
      <w:proofErr w:type="gramStart"/>
      <w:r w:rsidRPr="007E5CFA">
        <w:rPr>
          <w:rFonts w:ascii="Arial" w:eastAsia="Times New Roman" w:hAnsi="Arial" w:cs="Arial"/>
          <w:sz w:val="20"/>
          <w:szCs w:val="20"/>
        </w:rPr>
        <w:t>60.111a(</w:t>
      </w:r>
      <w:proofErr w:type="gramEnd"/>
      <w:r w:rsidRPr="007E5CFA">
        <w:rPr>
          <w:rFonts w:ascii="Arial" w:eastAsia="Times New Roman" w:hAnsi="Arial" w:cs="Arial"/>
          <w:sz w:val="20"/>
          <w:szCs w:val="20"/>
        </w:rPr>
        <w:t>g), 60.111b, and 60.116b(f).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(32) ASTM D388-77, Standard Specification for Classification of Coals by Rank, IBR approved for §§60.41, 60.45(f), 60.41Da, 60.41b, 60.41c, and 60.251.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(33) ASTM D388-90, Standard Specification for Classification of Coals by Rank, IBR approved for §§60.41, 60.45(f), 60.41Da, 60.41b, 60.41c, and 60.251.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(34) ASTM D388-91, Standard Specification for Classification of Coals by Rank, IBR approved for §§60.41, 60.45(f), 60.41Da, 60.41b, 60.41c, and 60.251.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(35) ASTM D388-95, Standard Specification for Classification of Coals by Rank, IBR approved for §§60.41, 60.45(f), 60.41Da, 60.41b, 60.41c, and 60.251.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(36) ASTM D388-98a, Standard Specification for Classification of Coals by Rank, IBR approved for §§60.41, 60.45(f), 60.41Da, 60.41b, 60.41c, and 60.251.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(37) ASTM D388-99 (Reapproved 2004</w:t>
      </w:r>
      <w:proofErr w:type="gramStart"/>
      <w:r w:rsidRPr="007E5CFA">
        <w:rPr>
          <w:rFonts w:ascii="Arial" w:eastAsia="Times New Roman" w:hAnsi="Arial" w:cs="Arial"/>
          <w:sz w:val="20"/>
          <w:szCs w:val="20"/>
        </w:rPr>
        <w:t>)</w:t>
      </w:r>
      <w:r w:rsidRPr="007E5CFA">
        <w:rPr>
          <w:rFonts w:ascii="Arial" w:eastAsia="Times New Roman" w:hAnsi="Arial" w:cs="Arial"/>
          <w:sz w:val="20"/>
          <w:szCs w:val="20"/>
          <w:vertAlign w:val="superscript"/>
        </w:rPr>
        <w:t>ε</w:t>
      </w:r>
      <w:r w:rsidRPr="007E5CFA">
        <w:rPr>
          <w:rFonts w:ascii="Arial" w:eastAsia="Times New Roman" w:hAnsi="Arial" w:cs="Arial"/>
          <w:sz w:val="20"/>
          <w:szCs w:val="20"/>
        </w:rPr>
        <w:t>,</w:t>
      </w:r>
      <w:r w:rsidRPr="007E5CFA">
        <w:rPr>
          <w:rFonts w:ascii="Arial" w:eastAsia="Times New Roman" w:hAnsi="Arial" w:cs="Arial"/>
          <w:sz w:val="20"/>
          <w:szCs w:val="20"/>
          <w:vertAlign w:val="superscript"/>
        </w:rPr>
        <w:t>1</w:t>
      </w:r>
      <w:proofErr w:type="gramEnd"/>
      <w:r w:rsidRPr="007E5CFA">
        <w:rPr>
          <w:rFonts w:ascii="Arial" w:eastAsia="Times New Roman" w:hAnsi="Arial" w:cs="Arial"/>
          <w:sz w:val="20"/>
          <w:szCs w:val="20"/>
        </w:rPr>
        <w:t xml:space="preserve"> Standard Specification for Classification of Coals by Rank, IBR approved for §§60.41, 60.45(f), 60.41Da, 60.41b, 60.41c, and 60.251.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(38) ASTM D396-78, Standard Specification for Fuel Oils, IBR approved for §§60.41b, 60.41c, 60.111(b), and </w:t>
      </w:r>
      <w:proofErr w:type="gramStart"/>
      <w:r w:rsidRPr="007E5CFA">
        <w:rPr>
          <w:rFonts w:ascii="Arial" w:eastAsia="Times New Roman" w:hAnsi="Arial" w:cs="Arial"/>
          <w:sz w:val="20"/>
          <w:szCs w:val="20"/>
        </w:rPr>
        <w:t>60.111a(</w:t>
      </w:r>
      <w:proofErr w:type="gramEnd"/>
      <w:r w:rsidRPr="007E5CFA">
        <w:rPr>
          <w:rFonts w:ascii="Arial" w:eastAsia="Times New Roman" w:hAnsi="Arial" w:cs="Arial"/>
          <w:sz w:val="20"/>
          <w:szCs w:val="20"/>
        </w:rPr>
        <w:t>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(39) ASTM D396-89, Standard Specification for Fuel Oils, IBR approved for §§60.41b, 60.41c, 60.111(b), and </w:t>
      </w:r>
      <w:proofErr w:type="gramStart"/>
      <w:r w:rsidRPr="007E5CFA">
        <w:rPr>
          <w:rFonts w:ascii="Arial" w:eastAsia="Times New Roman" w:hAnsi="Arial" w:cs="Arial"/>
          <w:sz w:val="20"/>
          <w:szCs w:val="20"/>
        </w:rPr>
        <w:t>60.111a(</w:t>
      </w:r>
      <w:proofErr w:type="gramEnd"/>
      <w:r w:rsidRPr="007E5CFA">
        <w:rPr>
          <w:rFonts w:ascii="Arial" w:eastAsia="Times New Roman" w:hAnsi="Arial" w:cs="Arial"/>
          <w:sz w:val="20"/>
          <w:szCs w:val="20"/>
        </w:rPr>
        <w:t>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(40) ASTM D396-90, Standard Specification for Fuel Oils, IBR approved for §§60.41b, 60.41c, 60.111(b), and </w:t>
      </w:r>
      <w:proofErr w:type="gramStart"/>
      <w:r w:rsidRPr="007E5CFA">
        <w:rPr>
          <w:rFonts w:ascii="Arial" w:eastAsia="Times New Roman" w:hAnsi="Arial" w:cs="Arial"/>
          <w:sz w:val="20"/>
          <w:szCs w:val="20"/>
        </w:rPr>
        <w:t>60.111a(</w:t>
      </w:r>
      <w:proofErr w:type="gramEnd"/>
      <w:r w:rsidRPr="007E5CFA">
        <w:rPr>
          <w:rFonts w:ascii="Arial" w:eastAsia="Times New Roman" w:hAnsi="Arial" w:cs="Arial"/>
          <w:sz w:val="20"/>
          <w:szCs w:val="20"/>
        </w:rPr>
        <w:t>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(41) ASTM D396-92, Standard Specification for Fuel Oils, IBR approved for §§60.41b, 60.41c, 60.111(b), and </w:t>
      </w:r>
      <w:proofErr w:type="gramStart"/>
      <w:r w:rsidRPr="007E5CFA">
        <w:rPr>
          <w:rFonts w:ascii="Arial" w:eastAsia="Times New Roman" w:hAnsi="Arial" w:cs="Arial"/>
          <w:sz w:val="20"/>
          <w:szCs w:val="20"/>
        </w:rPr>
        <w:t>60.111a(</w:t>
      </w:r>
      <w:proofErr w:type="gramEnd"/>
      <w:r w:rsidRPr="007E5CFA">
        <w:rPr>
          <w:rFonts w:ascii="Arial" w:eastAsia="Times New Roman" w:hAnsi="Arial" w:cs="Arial"/>
          <w:sz w:val="20"/>
          <w:szCs w:val="20"/>
        </w:rPr>
        <w:t>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(42) ASTM D396-98, Standard Specification for Fuel Oils, IBR approved for §§60.41b, 60.41c, 60.111(b), and </w:t>
      </w:r>
      <w:proofErr w:type="gramStart"/>
      <w:r w:rsidRPr="007E5CFA">
        <w:rPr>
          <w:rFonts w:ascii="Arial" w:eastAsia="Times New Roman" w:hAnsi="Arial" w:cs="Arial"/>
          <w:sz w:val="20"/>
          <w:szCs w:val="20"/>
        </w:rPr>
        <w:t>60.111a(</w:t>
      </w:r>
      <w:proofErr w:type="gramEnd"/>
      <w:r w:rsidRPr="007E5CFA">
        <w:rPr>
          <w:rFonts w:ascii="Arial" w:eastAsia="Times New Roman" w:hAnsi="Arial" w:cs="Arial"/>
          <w:sz w:val="20"/>
          <w:szCs w:val="20"/>
        </w:rPr>
        <w:t>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(43) ASTM D975-78, Standard Specification for Diesel Fuel Oils, IBR approved for §§60.111(b) and </w:t>
      </w:r>
      <w:proofErr w:type="gramStart"/>
      <w:r w:rsidRPr="007E5CFA">
        <w:rPr>
          <w:rFonts w:ascii="Arial" w:eastAsia="Times New Roman" w:hAnsi="Arial" w:cs="Arial"/>
          <w:sz w:val="20"/>
          <w:szCs w:val="20"/>
        </w:rPr>
        <w:t>60.111a(</w:t>
      </w:r>
      <w:proofErr w:type="gramEnd"/>
      <w:r w:rsidRPr="007E5CFA">
        <w:rPr>
          <w:rFonts w:ascii="Arial" w:eastAsia="Times New Roman" w:hAnsi="Arial" w:cs="Arial"/>
          <w:sz w:val="20"/>
          <w:szCs w:val="20"/>
        </w:rPr>
        <w:t>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(44) ASTM D975-96, Standard Specification for Diesel Fuel Oils, IBR approved for §§60.111(b) and </w:t>
      </w:r>
      <w:proofErr w:type="gramStart"/>
      <w:r w:rsidRPr="007E5CFA">
        <w:rPr>
          <w:rFonts w:ascii="Arial" w:eastAsia="Times New Roman" w:hAnsi="Arial" w:cs="Arial"/>
          <w:sz w:val="20"/>
          <w:szCs w:val="20"/>
        </w:rPr>
        <w:t>60.111a(</w:t>
      </w:r>
      <w:proofErr w:type="gramEnd"/>
      <w:r w:rsidRPr="007E5CFA">
        <w:rPr>
          <w:rFonts w:ascii="Arial" w:eastAsia="Times New Roman" w:hAnsi="Arial" w:cs="Arial"/>
          <w:sz w:val="20"/>
          <w:szCs w:val="20"/>
        </w:rPr>
        <w:t>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(45) ASTM D975-98a, Standard Specification for Diesel Fuel Oils, IBR approved for §§60.111(b) and </w:t>
      </w:r>
      <w:proofErr w:type="gramStart"/>
      <w:r w:rsidRPr="007E5CFA">
        <w:rPr>
          <w:rFonts w:ascii="Arial" w:eastAsia="Times New Roman" w:hAnsi="Arial" w:cs="Arial"/>
          <w:sz w:val="20"/>
          <w:szCs w:val="20"/>
        </w:rPr>
        <w:t>60.111a(</w:t>
      </w:r>
      <w:proofErr w:type="gramEnd"/>
      <w:r w:rsidRPr="007E5CFA">
        <w:rPr>
          <w:rFonts w:ascii="Arial" w:eastAsia="Times New Roman" w:hAnsi="Arial" w:cs="Arial"/>
          <w:sz w:val="20"/>
          <w:szCs w:val="20"/>
        </w:rPr>
        <w:t>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(46) ASTM D975-08a, Standard Specification for Diesel Fuel Oils, IBR approved for §§60.41b and 60.41c.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(47) ASTM D1072-80, Standard Test Method for Total Sulfur in Fuel Gases, IBR approved for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(48) ASTM D1072-90 (Reapproved 1994), Standard Test Method for Total Sulfur in Fuel Gases, IBR approved for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(49) ASTM D1072-90 (Reapproved 1999), Standard Test Method for Total Sulfur in Fuel Gases, IBR approved for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(50) ASTM D1137-53, Standard Method for Analysis of Natural Gases and Related Types of Gaseous Mixtures by the Mass Spectrometer, IBR approved for §60.45(f).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(51) ASTM D1137-75, Standard Method for Analysis of Natural Gases and Related Types of Gaseous Mixtures by the Mass Spectrometer, IBR approved for §60.45(f).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(52) ASTM D1193-77,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(53) ASTM D1193-91, Standard Specification for Reagent Water, IBR approved for appendix A-3 to part 60: Method 5, Section 7.1.3; Method 5E, Section 7.2.1; Method 5F, Section 7.2.1; appendix A-4 to part 60: Method 6, Section 7.1.1; Method 7, Section 7.1.1; Method 7C, Section 7.1.1; Method 7D, Section 7.1.1; Method 10A, Section 7.1.1; appendix A-5 to part 60: Method 11, Section 7.1.3; Method 12, Section 7.1.3; Method 13A, Section 7.1.2; appendix A-8 to part 60: Method 26, Section 7.1.2; Method 26A, Section 7.1.2; and Method 29, Section 7.2.2.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(54) ASTM D1266-87, Standard Test Method for Sulfur in Petroleum Products (Lamp Method), IBR approved for §§60.106(j) and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(55) ASTM D1266-91, Standard Test Method for Sulfur in Petroleum Products (Lamp Method), IBR approved for §§60.106(j) and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(56) ASTM D1266-98, Standard Test Method for Sulfur in Petroleum Products (Lamp Method), IBR approved for §§60.106(j) and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(57) ASTM D1266-98 (Reapproved 2003</w:t>
      </w:r>
      <w:proofErr w:type="gramStart"/>
      <w:r w:rsidRPr="007E5CFA">
        <w:rPr>
          <w:rFonts w:ascii="Arial" w:eastAsia="Times New Roman" w:hAnsi="Arial" w:cs="Arial"/>
          <w:sz w:val="20"/>
          <w:szCs w:val="20"/>
        </w:rPr>
        <w:t>)</w:t>
      </w:r>
      <w:r w:rsidRPr="007E5CFA">
        <w:rPr>
          <w:rFonts w:ascii="Arial" w:eastAsia="Times New Roman" w:hAnsi="Arial" w:cs="Arial"/>
          <w:sz w:val="20"/>
          <w:szCs w:val="20"/>
          <w:vertAlign w:val="superscript"/>
        </w:rPr>
        <w:t>ε</w:t>
      </w:r>
      <w:r w:rsidRPr="007E5CFA">
        <w:rPr>
          <w:rFonts w:ascii="Arial" w:eastAsia="Times New Roman" w:hAnsi="Arial" w:cs="Arial"/>
          <w:sz w:val="20"/>
          <w:szCs w:val="20"/>
        </w:rPr>
        <w:t>,</w:t>
      </w:r>
      <w:r w:rsidRPr="007E5CFA">
        <w:rPr>
          <w:rFonts w:ascii="Arial" w:eastAsia="Times New Roman" w:hAnsi="Arial" w:cs="Arial"/>
          <w:sz w:val="20"/>
          <w:szCs w:val="20"/>
          <w:vertAlign w:val="superscript"/>
        </w:rPr>
        <w:t>1</w:t>
      </w:r>
      <w:proofErr w:type="gramEnd"/>
      <w:r w:rsidRPr="007E5CFA">
        <w:rPr>
          <w:rFonts w:ascii="Arial" w:eastAsia="Times New Roman" w:hAnsi="Arial" w:cs="Arial"/>
          <w:sz w:val="20"/>
          <w:szCs w:val="20"/>
        </w:rPr>
        <w:t xml:space="preserve"> Standard Test Method for Sulfur in Petroleum Products (Lamp Method), IBR approved for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(58) ASTM D1475-60 (Reapproved 1980), Standard Test Method for Density of Paint, Varnish Lacquer, and Related Products, IBR approved for §60.435(d), appendix A-8 to part 60: Method 24, Section 6.1; and Method 24A, Sections 6.5 and 7.1.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(59) ASTM D1475-90, Standard Test Method for Density of Paint, Varnish Lacquer, and Related Products, IBR approved for §60.435(d), appendix A-8 to part 60: Method 24, Section 6.1; and Method 24A, §§6.5 and 7.1.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(60) ASTM D1552-83, Standard Test Method for Sulfur in Petroleum Products (High-Temperature Method), IBR approved for §§60.106(j), 60.335(b), and appendix A-7 to part 60: Method 19, Section 12.5.2.2.3.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(61) ASTM D1552-95, Standard Test Method for Sulfur in Petroleum Products (High-Temperature Method), IBR approved for §§60.106(j), 60.335(b), and appendix A-7 to part 60: Method 19, Section 12.5.2.2.3.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(62) ASTM D1552-01, Standard Test Method for Sulfur in Petroleum Products (High-Temperature Method), IBR approved for §§60.106(j), 60.335(b), and appendix A-7 to part 60: Method 19, Section 12.5.2.2.3.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(63) ASTM D1552-03, Standard Test Method for Sulfur in Petroleum Products (High-Temperature Method), IBR approved for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(64) ASTM D1826-77, Standard Test Method for Calorific Value of Gases in Natural Gas Range by Continuous Recording Calorimeter, IBR approved for §§60.45(f), 60.46(c), 60.296(b), and appendix A-7 to part 60: Method 19, Section 12.3.2.4.</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(65) ASTM D1826-94, Standard Test Method for Calorific Value of Gases in Natural Gas Range by Continuous Recording Calorimeter, IBR approved for §§60.45(f), 60.46(c), 60.296(b), and appendix A-7 to part 60: Method 19, Section 12.3.2.4.</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(66) ASTM D1826-94 (Reapproved 2003), Standard Test Method for Calorific (Heating) Value of Gases in Natural Gas Range by Continuous Recording Calorimeter, (Approved May 10, 2003), IBR approved for §60.107a(d).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(67) ASTM D1835-87, Standard Specification for Liquefied Petroleum (LP) Gases, IBR approved for §§60.41Da, 60.41b, and 60.41c.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(68) ASTM D1835-91, Standard Specification for Liquefied Petroleum (LP) Gases, IBR approved for §§60.41Da, 60.41b, and 60.41c.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(69) ASTM D1835-97, Standard Specification for Liquefied Petroleum (LP) Gases, IBR approved for §§60.41Da, 60.41b, and 60.41c.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(70) ASTM D1835-03a, Standard Specification for Liquefied Petroleum (LP) Gases, IBR approved for §§60.41Da, 60.41b, and 60.41c.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(71) ASTM D1945-64, Standard Method for Analysis of Natural Gas by Gas Chromatography, IBR approved for §60.45(f).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(72) ASTM D1945-76, Standard Method for Analysis of Natural Gas by Gas Chromatography, IBR approved for §60.45(f).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(73) ASTM D1945-91, Standard Method for Analysis of Natural Gas by Gas Chromatography, IBR approved for §60.45(f).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(74) ASTM D1945-96, Standard Method for Analysis of Natural Gas by Gas Chromatography, IBR approved for §60.45(f).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(75) ASTM D1945-03 (Reapproved 2010), Standard Method for Analysis of Natural Gas by Gas Chromatography, (Approved January 1, 2010),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 and 60.5413(d).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(76) ASTM D1946-77, Standard Method for Analysis of Reformed Gas by Gas Chromatography, IBR approved for §§60.18(f), 60.45(f), 60.564(f), 60.614(e), 60.664(e), and 60.704(d).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(77) ASTM D1946-90 (Reapproved 1994), Standard Method for Analysis of Reformed Gas by Gas Chromatography, IBR approved for §§60.18(f), 60.45(f), 60.564(f), 60.614(e), 60.664(e), and 60.704(d).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(78) ASTM D1946-90 (Reapproved 2006), Standard Method for Analysis of Reformed Gas by Gas Chromatography, (Approved June 1, 2006),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(79) ASTM D2013-72, Standard Method of Preparing Coal Samples for Analysis, IBR approved for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(80) ASTM D2013-86, Standard Method of Preparing Coal Samples for Analysis, IBR approved for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(81) ASTM D2015-77 (Reapproved 1978), Standard Test Method for Gross Calorific Value of Solid Fuel by the Adiabatic Bomb Calorimeter, IBR approved for §§60.45(f), 60.46(c), and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(82) ASTM D2015-96, Standard Test Method for Gross Calorific Value of Solid Fuel by the Adiabatic Bomb Calorimeter, IBR approved for §§60.45(f), 60.46(c), and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(83) ASTM D2016-74, Standard Test Methods for Moisture Content of Wood, IBR approved for appendix A-8 to part 60: Method 28, Section 16.1.1.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(84) ASTM D2016-83, Standard Test Methods for Moisture Content of Wood, IBR approved for appendix A-8 to part 60: Method 28, Section 16.1.1.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(85) ASTM D2234-76, Standard Methods for Collection of a Gross Sample of Coal, IBR approved for appendix A-7 to part 60: Method 19, Section 12.5.2.1.1.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(86) ASTM D2234-96, Standard Methods for Collection of a Gross Sample of Coal, IBR approved for appendix A-7 to part 60: Method 19, Section 12.5.2.1.1.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(87) ASTM D2234-97b, Standard Methods for Collection of a Gross Sample of Coal, IBR approved for appendix A-7 to part 60: Method 19, Section 12.5.2.1.1.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(88) ASTM D2234-98, Standard Methods for Collection of a Gross Sample of Coal, IBR approved for appendix A-7 to part 60: Method 19, Section 12.5.2.1.1.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(89) ASTM D2369-81, Standard Test Method for Volatile Content of Coatings, IBR approved for appendix A-8 to part 60: Method 24, Section 6.2.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(90) ASTM D2369-87, Standard Test Method for Volatile Content of Coatings, IBR approved for appendix A-8 to part 60: Method 24, Section 6.2.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(91) ASTM D2369-90, Standard Test Method for Volatile Content of Coatings, IBR approved for appendix A-8 to part 60: Method 24, Section 6.2.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(92) ASTM D2369-92, Standard Test Method for Volatile Content of Coatings, IBR approved for appendix A-8 to part 60: Method 24, Section 6.2.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(93) ASTM D2369-93, Standard Test Method for Volatile Content of Coatings, IBR approved for appendix A-8 to part 60: Method 24, Section 6.2.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(94) ASTM D2369-95, Standard Test Method for Volatile Content of Coatings, IBR approved for appendix A-8 to part 60: Method 24, Section 6.2.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(95) ASTM D2382-76, Heat of Combustion of Hydrocarbon Fuels by Bomb Calorimeter (High-Precision Method), IBR approved for §§60.18(f), 60.485(g),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g), 60.564(f), 60.614(e), 60.664(e), and 60.704(d).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(96) ASTM D2382-88, Heat of Combustion of Hydrocarbon Fuels by Bomb Calorimeter (High-Precision Method), IBR approved for §§60.18(f), 60.485(g),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g), 60.564(f), 60.614(e), 60.664(e), and 60.704(d).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(97) ASTM D2504-67, Noncondensable Gases in C3 and Lighter Hydrocarbon Products by Gas Chromatography, IBR approved for §§60.485(g) and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g).</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(98) ASTM D2504-77, Noncondensable Gases in C3 and Lighter Hydrocarbon Products by Gas Chromatography, IBR approved for §§60.485(g) and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g).</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(99) ASTM D2504-88 (Reapproved 1993), Noncondensable Gases in C3 and Lighter Hydrocarbon Products by Gas Chromatography, IBR approved for §§60.485(g) and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g).</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(100) ASTM D2584-68(Reapproved 1985), Standard Test Method for Ignition Loss of Cured Reinforced Resins, IBR approved for §60.685(c).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(101) ASTM D2584-94, Standard Test Method for Ignition Loss of Cured Reinforced Resins, IBR approved for §60.685(c).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(102) ASTM D2597-94 (Reapproved 1999), Standard Test Method for Analysis of Demethanized Hydrocarbon Liquid Mixtures Containing Nitrogen and Carbon Dioxide by Gas Chromatography, IBR approved for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(103) ASTM D2622-87, Standard Test Method for Sulfur in Petroleum Products by Wavelength Dispersive X-Ray Fluorescence Spectrometry, IBR approved for §§60.106(j) and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(104) ASTM D2622-94, Standard Test Method for Sulfur in Petroleum Products by Wavelength Dispersive X-Ray Fluorescence Spectrometry, IBR approved for §§60.106(j) and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(105) ASTM D2622-98, Standard Test Method for Sulfur in Petroleum Products by Wavelength Dispersive X-Ray Fluorescence Spectrometry, IBR approved for §§60.106(j) and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(106) ASTM D2622-05, Standard Test Method for Sulfur in Petroleum Products by Wavelength Dispersive X-Ray Fluorescence Spectrometry, IBR approved for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(107) ASTM D2879-83Test Method for Vapor Pressure-Temperature Relationship and Initial Decomposition Temperature of Liquids by Isoteniscope, IBR approved for §§</w:t>
      </w:r>
      <w:proofErr w:type="gramStart"/>
      <w:r w:rsidRPr="007E5CFA">
        <w:rPr>
          <w:rFonts w:ascii="Arial" w:eastAsia="Times New Roman" w:hAnsi="Arial" w:cs="Arial"/>
          <w:sz w:val="20"/>
          <w:szCs w:val="20"/>
        </w:rPr>
        <w:t>60.111b(</w:t>
      </w:r>
      <w:proofErr w:type="gramEnd"/>
      <w:r w:rsidRPr="007E5CFA">
        <w:rPr>
          <w:rFonts w:ascii="Arial" w:eastAsia="Times New Roman" w:hAnsi="Arial" w:cs="Arial"/>
          <w:sz w:val="20"/>
          <w:szCs w:val="20"/>
        </w:rPr>
        <w:t>f)(3), 60.116b(e), 60.116b(f), 60.485(e), and 60.485a(e).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(108) ASTM D2879-96, Test Method for Vapor Pressure-Temperature Relationship and Initial Decomposition Temperature of Liquids by Isoteniscope, IBR approved for §§60.111b(f)(3), 60.116b(e), 60.116b(f), 60.485(e), and 60.485a(e).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(109) ASTM D2879-97, Test Method for Vapor Pressure-Temperature Relationship and Initial Decomposition Temperature of Liquids by Isoteniscope, IBR approved for §§60.111b(f)(3), 60.116b(e), 60.116b(f), 60.485(e), and 60.485a(e).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(110) ASTM D2880-78, Standard Specification for Gas Turbine Fuel Oils, IBR approved for §§60.111(b), </w:t>
      </w:r>
      <w:proofErr w:type="gramStart"/>
      <w:r w:rsidRPr="007E5CFA">
        <w:rPr>
          <w:rFonts w:ascii="Arial" w:eastAsia="Times New Roman" w:hAnsi="Arial" w:cs="Arial"/>
          <w:sz w:val="20"/>
          <w:szCs w:val="20"/>
        </w:rPr>
        <w:t>60.111a(</w:t>
      </w:r>
      <w:proofErr w:type="gramEnd"/>
      <w:r w:rsidRPr="007E5CFA">
        <w:rPr>
          <w:rFonts w:ascii="Arial" w:eastAsia="Times New Roman" w:hAnsi="Arial" w:cs="Arial"/>
          <w:sz w:val="20"/>
          <w:szCs w:val="20"/>
        </w:rPr>
        <w:t>b), and 60.335(d).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(111) ASTM D2880-96, Standard Specification for Gas Turbine Fuel Oils, IBR approved for §§60.111(b), </w:t>
      </w:r>
      <w:proofErr w:type="gramStart"/>
      <w:r w:rsidRPr="007E5CFA">
        <w:rPr>
          <w:rFonts w:ascii="Arial" w:eastAsia="Times New Roman" w:hAnsi="Arial" w:cs="Arial"/>
          <w:sz w:val="20"/>
          <w:szCs w:val="20"/>
        </w:rPr>
        <w:t>60.111a(</w:t>
      </w:r>
      <w:proofErr w:type="gramEnd"/>
      <w:r w:rsidRPr="007E5CFA">
        <w:rPr>
          <w:rFonts w:ascii="Arial" w:eastAsia="Times New Roman" w:hAnsi="Arial" w:cs="Arial"/>
          <w:sz w:val="20"/>
          <w:szCs w:val="20"/>
        </w:rPr>
        <w:t>b), and 60.335(d).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(112) ASTM D2908-74, Standard Practice for Measuring Volatile Organic Matter in Water by Aqueous-Injection Gas Chromatography, IBR approved for §60.564(j).</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(113) ASTM D2908-91, Standard Practice for Measuring Volatile Organic Matter in Water by Aqueous-Injection Gas Chromatography, IBR approved for §60.564(j).</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(114) ASTM D2986-71, Standard Method for Evaluation of Air, Assay Media by the Monodisperse DOP (Dioctyl Phthalate) Smoke Test, IBR approved for appendix A-3 to part 60: Method 5, Section 7.1.1; appendix A-5 to part 60: Method 12, Section 7.1.1; and Method 13A, Section 7.1.1.2.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(115) ASTM D2986-78, Standard Method for Evaluation of Air, Assay Media by the Monodisperse DOP (Dioctyl Phthalate) Smoke Test, IBR approved for appendix A-3 to part 60: Method 5, Section 7.1.1; appendix A-5 to part 60: Method 12, Section 7.1.1; and Method 13A, Section 7.1.1.2.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(116) ASTM D2986-95a, Standard Method for Evaluation of Air, Assay Media by the Monodisperse DOP (Dioctyl Phthalate) Smoke Test, IBR approved for appendix A-3 to part 60: Method 5, Section 7.1.1; appendix A-5 to part 60: Method 12, Section 7.1.1; and Method 13A, Section 7.1.1.2.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(117) ASTM D3173-73, Standard Test Method for Moisture in the Analysis Sample of Coal and Coke, IBR approved for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(118) ASTM D3173-87, Standard Test Method for Moisture in the Analysis Sample of Coal and Coke, IBR approved for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(119) ASTM D3176-74, Standard Method for Ultimate Analysis of Coal and Coke, IBR approved for §60.45(f</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5)(i) and appendix A-7 to part 60: Method 19, Section 12.3.2.3.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(120) ASTM D3176-89, Standard Method for Ultimate Analysis of Coal and Coke, IBR approved for §60.45(f</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5)(i) and appendix A-7 to part 60: Method 19, Section 12.3.2.3.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(121) ASTM D3177-75, Standard Test Method for Total Sulfur in the Analysis Sample of Coal and Coke, IBR approved for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(122) ASTM D3177-89, Standard Test Method for Total Sulfur in the Analysis Sample of Coal and Coke, IBR approved for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(123) ASTM D3178-73 (Reapproved 1979), Standard Test Methods for Carbon and Hydrogen in the Analysis Sample of Coal and Coke, IBR approved for §60.45(f).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(124) ASTM D3178-89, Standard Test Methods for Carbon and Hydrogen in the Analysis Sample of Coal and Coke, IBR approved for §60.45(f).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(125) ASTM D3246-81, Standard Test Method for Sulfur in Petroleum Gas by Oxidative Microcoulometry, IBR approved for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(126) ASTM D3246-92, Standard Test Method for Sulfur in Petroleum Gas by Oxidative Microcoulometry, IBR approved for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(127) ASTM D3246-96, Standard Test Method for Sulfur in Petroleum Gas by Oxidative Microcoulometry, IBR approved for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(128) ASTM D3246-05, Standard Test Method for Sulfur in Petroleum Gas by Oxidative Microcoulometry, IBR approved for §60.4415(a</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(129) ASTM D3270-73T, Standard Test Methods for Analysis for Fluoride Content of the Atmosphere and Plant Tissues (Semiautomated Method), IBR approved for appendix A-5 to part 60: Method 13A, Section 16.1.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(130) ASTM D3270-80, Standard Test Methods for Analysis for Fluoride Content of the Atmosphere and Plant Tissues (Semiautomated Method), IBR approved for appendix A-5 to part 60: Method 13A, Section 16.1.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(131) ASTM D3270-91, Standard Test Methods for Analysis for Fluoride Content of the Atmosphere and Plant Tissues (Semiautomated Method), IBR approved for appendix A-5 to part 60: Method 13A, Section 16.1.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(132) ASTM D3270-95, Standard Test Methods for Analysis for Fluoride Content of the Atmosphere and Plant Tissues (Semiautomated Method), IBR approved for appendix A-5 to part 60: Method 13A, Section 16.1.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(133) ASTM D3286-85, Standard Test Method for Gross Calorific Value of Coal and Coke by the Isoperibol Bomb Calorimeter, IBR approved for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(134) ASTM D3286-96, Standard Test Method for Gross Calorific Value of Coal and Coke by the Isoperibol Bomb Calorimeter, IBR approved for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(135) ASTM D3370-76, Standard Practices for Sampling Water, IBR approved for §60.564(j).</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(136) ASTM D3370-95a, Standard Practices for Sampling Water, IBR approved for §60.564(j).</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(137) ASTM D3588-98 (Reapproved 2003), Standard Practice for Calculating Heat Value, Compressibility Factor, and Relative Density of Gaseous Fuels, (Approved May 10, 2003),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 and 60.5413(d).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(138) ASTM D3699-08, Standard Specification for Kerosine, including Appendix X1, (Approved September 1, 2008), IBR approved for §§60.41b and 60.41c.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(139) ASTM D3792-79, Standard Test Method for Water Content of Water-Reducible Paints by Direct Injection into a Gas Chromatograph, IBR approved for appendix A-7 to part 60: Method 24, Section 6.3.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(140) ASTM D3792-91, Standard Test Method for Water Content of Water-Reducible Paints by Direct Injection into a Gas Chromatograph, IBR approved for appendix A-7 to part 60: Method 24, Section 6.3.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(141) ASTM D4017-81, Standard Test Method for Water in Paints and Paint Materials by the Karl Fischer Titration Method, IBR approved for appendix A-7 to part 60: Method 24, Section 6.4.</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(142) ASTM D4017-90, Standard Test Method for Water in Paints and Paint Materials by the Karl Fischer Titration Method, IBR approved for appendix A-7 to part 60: Method 24, Section 6.4.</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(143) ASTM D4017-96a, Standard Test Method for Water in Paints and Paint Materials by the Karl Fischer Titration Method, IBR approved for appendix A-7 to part 60: Method 24, Section 6.4.</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(144) ASTM D4057-81, Standard Practice for Manual Sampling of Petroleum and Petroleum Products, IBR approved for appendix A-7 to part 60: Method 19, Section 12.5.2.2.3.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(145) ASTM D4057-95, Standard Practice for Manual Sampling of Petroleum and Petroleum Products, IBR approved for appendix A-7 to part 60: Method 19, Section 12.5.2.2.3.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(146) ASTM D4057-95 (Reapproved 2000), Standard Practice for Manual Sampling of Petroleum and Petroleum Products, IBR approved for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(147) ASTM D4084-82, Standard Test Method for Analysis of Hydrogen Sulfide in Gaseous Fuels (Lead Acetate Reaction Rate Method), IBR approved for §60.334(h).</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(148) ASTM D4084-94, Standard Test Method for Analysis of Hydrogen Sulfide in Gaseous Fuels (Lead Acetate Reaction Rate Method), IBR approved for §60.334(h).</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(149) ASTM D4084-05, Standard Test Method for Analysis of Hydrogen Sulfide in Gaseous Fuels (Lead Acetate Reaction Rate Method), IBR approved for §§60.4360 and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(150) ASTM D4177-95, Standard Practice for Automatic Sampling of Petroleum and Petroleum Products, IBR approved for appendix A-7 to part 60: Method 19, Section 12.5.2.2.1.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(151) ASTM D4177-95 (Reapproved 2000), Standard Practice for Automatic Sampling of Petroleum and Petroleum Products, IBR approved for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(152) ASTM D4239-85, Standard Test Methods for Sulfur in the Analysis Sample of Coal and Coke Using High Temperature Tube Furnace Combustion Methods, IBR approved for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(153) ASTM D4239-94, Standard Test Methods for Sulfur in the Analysis Sample of Coal and Coke Using High Temperature Tube Furnace Combustion Methods, IBR approved for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(154) ASTM D4239-97, Standard Test Methods for Sulfur in the Analysis Sample of Coal and Coke Using High Temperature Tube Furnace Combustion Methods, IBR approved for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(155) ASTM D4294-02, Standard Test Method for Sulfur in Petroleum and Petroleum Products by Energy-Dispersive X-Ray Fluorescence Spectrometry, IBR approved for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(156) ASTM D4294-03, Standard Test Method for Sulfur in Petroleum and Petroleum Products by Energy-Dispersive X-Ray Fluorescence Spectrometry, IBR approved for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(157) ASTM D4442-84, Standard Test Methods for Direct Moisture Content Measurement in Wood and Wood-base Materials, IBR approved for appendix A-8 to part 60: Method 28, Section 16.1.1.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(158) ASTM D4442-92, Standard Test Methods for Direct Moisture Content Measurement in Wood and Wood-base Materials, IBR approved for appendix A-8 to part 60: Method 28, Section 16.1.1.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(159) ASTM D4444-92, Standard Test Methods for Use and Calibration of Hand-Held Moisture Meters, IBR approved for appendix A-8 to part 60: Method 28, Section 16.1.1.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(160) ASTM D4457-85 (Reapproved 1991), Test Method for Determination of Dichloromethane and 1,1,1-Trichloroethane in Paints and Coatings by Direct Injection into a Gas Chromatograph, IBR approved for appendix A-7 to part 60: Method 24, Section 6.5.</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(161) ASTM D4468-85 (Reapproved 2000), Standard Test Method for Total Sulfur in Gaseous Fuels by Hydrogenolysis and Rateometric Colorimetry, IBR approved for §§60.335(b) and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(162) ASTM D4468-85 (Reapproved 2006), Standard Test Method for Total Sulfur in Gaseous Fuels by Hydrogenolysis and Rateometric Colorimetry, (Approved June 1, 2006),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(163) ASTM D4629-02, Standard Test Method for Trace Nitrogen in Liquid Petroleum Hydrocarbons by Syringe/Inlet Oxidative Combustion and Chemiluminescence Detection, IBR approved for §§60.49b(e) and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(164) ASTM D4809-95, Standard Test Method for Heat of Combustion of Liquid Hydrocarbon Fuels by Bomb Calorimeter (Precision Method), IBR approved for §§60.18(f), 60.485(g), 60.485a(g), 60.564(f), 60.614(d), 60.664(e), and 60.704(d).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(165) ASTM D4809-06, Standard Test Method for Heat of Combustion of Liquid Hydrocarbon Fuels by Bomb Calorimeter (Precision Method), (Approved December 1, 2006), IBR approved for §60.107a(d).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(166) ASTM D4810-88 (Reapproved 1999), Standard Test Method for Hydrogen Sulfide in Natural Gas Using Length of Stain Detector Tubes, IBR approved for §§60.4360 and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(167) ASTM D4891-89 (Reapproved 2006) Standard Test Method for Heating Value of Gases in Natural Gas Range by Stoichiometric Combustion, (Approved June 1, 2006), IBR approved for §§60.107a(d) and 60.5413(d).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(168) ASTM D5287-97 (Reapproved 2002), Standard Practice for Automatic Sampling of Gaseous Fuels, IBR approved for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(169) ASTM D5403-93, Standard Test Methods for Volatile Content of Radiation Curable Materials, IBR approved for appendix A-7 to part 60: Method 24, Section 6.6.</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(170) ASTM D5453-00, Standard Test Method for Determination of Total Sulfur in Light Hydrocarbons, Motor Fuels and Oils by Ultraviolet Fluorescence, IBR approved for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(171) ASTM D5453-05, Standard Test Method for Determination of Total Sulfur in Light Hydrocarbons, Motor Fuels and Oils by Ultraviolet Fluorescence, IBR approved for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(172) ASTM D5504-01, Standard Test Method for Determination of Sulfur Compounds in Natural Gas and Gaseous Fuels by Gas Chromatography and Chemiluminescence, IBR approved for §§60.334(h) and 60.4360.</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(173) ASTM D5504-08, Standard Test Method for Determination of Sulfur Compounds in Natural Gas and Gaseous Fuels by Gas Chromatography and Chemiluminescence, (Approved June 15, 2008), IBR approved for §§60.107a(e) and 60.5413(d).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(174) ASTM D5762-02, Standard Test Method for Nitrogen in Petroleum and Petroleum Products by Boat-Inlet Chemiluminescence, IBR approved for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(175) ASTM D5865-98, Standard Test Method for Gross Calorific Value of Coal and Coke, IBR approved for §§60.45(f) and 60.46(c), and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(176) ASTM D5865-10, Standard Test Method for Gross Calorific Value of Coal and Coke, (Approved January 1, 2010), IBR approved for §§60.45(f), 60.46(c), and appendix A-7 to part 60: Method 19, section 12.5.2.1.3.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(177) ASTM D6216-98, Standard Practice for Opacity Monitor Manufacturers to Certify Conformance with Design and Performance Specifications, IBR approved for appendix B to part 60: Performance Specification 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(178) ASTM D6228-98, Standard Test Method for Determination of Sulfur Compounds in Natural Gas and Gaseous Fuels by Gas Chromatography and Flame Photometric Detection, IBR approved for §60.334(h).</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(179) ASTM D6228-98 (Reapproved 2003), Standard Test Method for Determination of Sulfur Compounds in Natural Gas and Gaseous Fuels by Gas Chromatography and Flame Photometric Detection, IBR approved for §§60.4360 and 60.4415.</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(180) ASTM D6348-03, Standard Test Method for Determination of Gaseous Compounds by Extractive Direct Interface Fourier Transform Infrared (FTIR) Spectroscopy, (Approved October 1, 2003), IBR approved for §60.73a(b), table 7 to subpart IIII, and table 2 to subpart JJJJ.</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(181) ASTM D6366-99, Standard Test Method for Total Trace Nitrogen and Its Derivatives in Liquid Aromatic Hydrocarbons by Oxidative Combustion and Electrochemical Detection, IBR approved for §60.335(b)(9).</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(182) ASTM D6420-99 (Reapproved 2004), Standard Test Method for Determination of Gaseous Organic Compounds by Direct Interface Gas Chromatography-Mass Spectrometry, (Approved October 1, 2004),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 and table 2 to subpart JJJJ.</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(183)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(184)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to subpart JJJJ, and §§60.5413(b) and (d).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(185) ASTM D6667-01, Standard Test Method for Determination of Total Volatile Sulfur in Gaseous Hydrocarbons and Liquefied Petroleum Gases by Ultraviolet Fluorescence, IBR approved for §60.335(b).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(186) ASTM D6667-04, Standard Test Method for Determination of Total Volatile Sulfur in Gaseous Hydrocarbons and Liquefied Petroleum Gases by Ultraviolet Fluorescence, IBR approved for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(187) ASTM D6751-11b, Standard Specification for Biodiesel Fuel Blend Stock (B100) for Middle Distillate Fuels, including Appendices X1 through X3, (Approved July 15, 2011), IBR approved for §§60.41b and 60.41c.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(188) ASTM D6784-02, Standard Test Method for Elemental, Oxidized, Particle-Bound and Total Mercury in Flue Gas Generated from Coal-Fired Stationary Sources (Ontario Hydro Method), IBR approved for §60.56c(b) and appendix B to part 60: Performance Specification 12A, Section 8.6.2.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(189) ASTM D6784-02 (Reapproved 2008) Standard Test Method for Elemental, Oxidized, Particle-Bound and Total Mercury in Flue Gas Generated from Coal-Fired Stationary Sources (Ontario Hydro Method), (Approved April 1, 2008), IBR approved for §§60.2165(j) and 60.2730(j), tables 1, 5, 6 and 8 to subpart CCCC, and tables 2, 6, 7, and 9 to subpart DDDD, §§60.4900(b), 60.5220(b), tables 1 and 2 to subpart LLLL, and tables 2 and 3 to subpart MMMM.</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(190) ASTM D7467-10, Standard Specification for Diesel Fuel Oil, Biodiesel Blend (B6 to B20), including Appendices X1 through X3, (Approved August 1, 2010), IBR approved for §§60.41b and 60.41c.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(191) ASTM E168-67, General Techniques of Infrared Quantitative Analysis, IBR approved for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d), 60.593(b), 60.593a(b), and 60.632(f).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(192) ASTM E168-77, General Techniques of Infrared Quantitative Analysis, IBR approved for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d), 60.593(b), 60.593a(b), and 60.632(f).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(193) ASTM E168-92, General Techniques of Infrared Quantitative Analysis, IBR approved for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d)(1), 60.593(b)(2), 60.593a(b)(2), 60.632(f), and 60.5400.</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(194) ASTM E169-63, General Techniques of Ultraviolet Quantitative Analysis, IBR approved for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d), 60.593(b), 60.593a(b), and 60.632(f)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(195) ASTM E169-77, General Techniques of Ultraviolet Quantitative Analysis, IBR approved for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d), 60.593(b), and 60.593a(b), 60.632(f).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(196) ASTM E169-93, General Techniques of Ultraviolet Quantitative Analysis, (Approved May 15, 1993), IBR approved for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d), 60.593(b), 60.593a(b), 60.632(f), and 60.5400(f).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(197) ASTM E260-73, General Gas Chromatography Procedures, IBR approved for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d), 60.593(b), 60.593a(b), and 60.632(f).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(198) ASTM E260-91, General Gas Chromatography Procedures, (IBR approved for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d), 60.593(b), 60.593a(b), and 60.632(f).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(199) ASTM E260-96, General Gas Chromatography Procedures, (Approved April 10, 1996), IBR approved for §§</w:t>
      </w:r>
      <w:proofErr w:type="gramStart"/>
      <w:r w:rsidRPr="007E5CFA">
        <w:rPr>
          <w:rFonts w:ascii="Arial" w:eastAsia="Times New Roman" w:hAnsi="Arial" w:cs="Arial"/>
          <w:sz w:val="20"/>
          <w:szCs w:val="20"/>
        </w:rPr>
        <w:t>60.485a(</w:t>
      </w:r>
      <w:proofErr w:type="gramEnd"/>
      <w:r w:rsidRPr="007E5CFA">
        <w:rPr>
          <w:rFonts w:ascii="Arial" w:eastAsia="Times New Roman" w:hAnsi="Arial" w:cs="Arial"/>
          <w:sz w:val="20"/>
          <w:szCs w:val="20"/>
        </w:rPr>
        <w:t>d), 60.593(b), 60.593a(b), 60.632(f), 60.5400(f), and 60.5406(b).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(200) ASTM E1584-11, Standard Test Method for Assay of Nitric Acid, (Approved August 1, 2011), IBR approved for §60.73a(c).</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(201) ASTM UOP539-97, Refinery Gas Analysis by Gas Chromatography, (Copyright 1997),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(h) Association of Official Analytical Chemists, 1111 North 19th Street, Suite 210, Arlington, VA 22209.</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AOAC Method 9, Official Methods of Analysis of the Association of Official Analytical Chemists (AOAC), 11th edition, 1970, pp. 11-12, IBR approved for §§60.204(b), 60.214(b), 60.224(b), and 60.234(b).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[Reserved]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 U.S. Environmental Protection Agency, 1200 Pennsylvania Avenue NW., Washington, DC 20460, (202) 272-0167, </w:t>
      </w:r>
      <w:r w:rsidRPr="007E5CFA">
        <w:rPr>
          <w:rFonts w:ascii="Arial" w:eastAsia="Times New Roman" w:hAnsi="Arial" w:cs="Arial"/>
          <w:i/>
          <w:iCs/>
          <w:sz w:val="20"/>
          <w:szCs w:val="20"/>
        </w:rPr>
        <w:t>http://www.epa.gov</w:t>
      </w:r>
      <w:r w:rsidRPr="007E5CFA">
        <w:rPr>
          <w:rFonts w:ascii="Arial" w:eastAsia="Times New Roman" w:hAnsi="Arial" w:cs="Arial"/>
          <w:sz w:val="20"/>
          <w:szCs w:val="20"/>
        </w:rPr>
        <w: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EPA-454/R-98-015, Office of Air Quality Planning and Standards (OAQPS) Fabric Filter Bag Leak Detection Guidance, September 1997, IBR approved for §§60.2145(r), 60.2710(r), 60.4905(b), and 60.5225(b).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[Reserved]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(j) The Gas Processors Association, 6526 East 60th Street, Tulsa, OK 74145; also available through Information Handling Services, 15 Inverness Way East, PO Box 1154, Englewood, CO 80150-1154. You may inspect a copy at the EPA's Air and Radiation Docket and Information Center, Room 3334, 1301 Constitution Ave. </w:t>
      </w:r>
      <w:proofErr w:type="gramStart"/>
      <w:r w:rsidRPr="007E5CFA">
        <w:rPr>
          <w:rFonts w:ascii="Arial" w:eastAsia="Times New Roman" w:hAnsi="Arial" w:cs="Arial"/>
          <w:sz w:val="20"/>
          <w:szCs w:val="20"/>
        </w:rPr>
        <w:t>NW.,</w:t>
      </w:r>
      <w:proofErr w:type="gramEnd"/>
      <w:r w:rsidRPr="007E5CFA">
        <w:rPr>
          <w:rFonts w:ascii="Arial" w:eastAsia="Times New Roman" w:hAnsi="Arial" w:cs="Arial"/>
          <w:sz w:val="20"/>
          <w:szCs w:val="20"/>
        </w:rPr>
        <w:t xml:space="preserve"> Washington, DC 20460.</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(1) Gas Processors Association Standard 2172-09, Calculation of Gross Heating Value, Relative Density, Compressibility and Theoretical Hydrocarbon Liquid Content for Natural Gas Mixtures for Custody Transfer (2009), IBR approved for §60.107a(d).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Gas Processors Association Standard 2261-00, Analysis for Natural Gas and Similar Gaseous Mixtures by Gas Chromatography (2000), IBR approved for §60.107a(d).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Gas Processors Association Standard 2377-86, Test for Hydrogen Sulfide and Carbon Dioxide in Natural Gas Using Length of Stain Tubes, 1986 Revision, IBR approved for §§60.105(b), 60.107a(b), 60.334(h), 60.4360, and 60.4415(a).</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(k) International Organization for Standardization (ISO) available through IHS Inc., 15 Inverness Way East, Englewood, CO 80112.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ISO 8178-4: 1996(E), Reciprocating Internal Combustion Engines—Exhaust Emission Measurement—part 4: Test Cycles for Different Engine Applications, IBR approved for §60.4241(b).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[Reserved]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(l) International Organization for Standardization (ISO), 1, ch. de la Voie-Creuse, Case postale 56, CH-1211 Geneva 20, Switzerland, +41 22 749 01 11, </w:t>
      </w:r>
      <w:r w:rsidRPr="007E5CFA">
        <w:rPr>
          <w:rFonts w:ascii="Arial" w:eastAsia="Times New Roman" w:hAnsi="Arial" w:cs="Arial"/>
          <w:i/>
          <w:iCs/>
          <w:sz w:val="20"/>
          <w:szCs w:val="20"/>
        </w:rPr>
        <w:t>http://www.iso.org/iso/home.htm</w:t>
      </w:r>
      <w:r w:rsidRPr="007E5CFA">
        <w:rPr>
          <w:rFonts w:ascii="Arial" w:eastAsia="Times New Roman" w:hAnsi="Arial" w:cs="Arial"/>
          <w:sz w:val="20"/>
          <w:szCs w:val="20"/>
        </w:rPr>
        <w: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ISO 8316: Measurement of Liquid Flow in Closed Conduits—Method by Collection of the Liquid in a Volumetric Tank (1987-10-01)—First Edition, IBR approved for §</w:t>
      </w:r>
      <w:proofErr w:type="gramStart"/>
      <w:r w:rsidRPr="007E5CFA">
        <w:rPr>
          <w:rFonts w:ascii="Arial" w:eastAsia="Times New Roman" w:hAnsi="Arial" w:cs="Arial"/>
          <w:sz w:val="20"/>
          <w:szCs w:val="20"/>
        </w:rPr>
        <w:t>60.107a(</w:t>
      </w:r>
      <w:proofErr w:type="gramEnd"/>
      <w:r w:rsidRPr="007E5CFA">
        <w:rPr>
          <w:rFonts w:ascii="Arial" w:eastAsia="Times New Roman" w:hAnsi="Arial" w:cs="Arial"/>
          <w:sz w:val="20"/>
          <w:szCs w:val="20"/>
        </w:rPr>
        <w:t>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[Reserved]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(m) This material is available for purchase from the National Technical Information Services (NTIS), 5285 Port Royal Road, Springfield, Virginia 22161. You may inspect a copy at the EPA's Air and Radiation Docket and Information Center (Docket A-91-61, Item IV-J-125), Room M-1500, 1200 Pennsylvania Ave. NW., Washington, DC 20460.</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OMB Bulletin No. 93-17: Revised Statistical Definitions for Metropolitan Areas. Office of Management and Budget, June 30, 1993. NTIS No. PB 93-192-664. IBR approved for §60.31e.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[Reserved]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(n) North American Electric Reliability Corporation, 1325 G Street NW., Suite 600, Washington, DC 20005-3801, </w:t>
      </w:r>
      <w:r w:rsidRPr="007E5CFA">
        <w:rPr>
          <w:rFonts w:ascii="Arial" w:eastAsia="Times New Roman" w:hAnsi="Arial" w:cs="Arial"/>
          <w:i/>
          <w:iCs/>
          <w:sz w:val="20"/>
          <w:szCs w:val="20"/>
        </w:rPr>
        <w:t>http://www.nerc.com</w:t>
      </w:r>
      <w:r w:rsidRPr="007E5CFA">
        <w:rPr>
          <w:rFonts w:ascii="Arial" w:eastAsia="Times New Roman" w:hAnsi="Arial" w:cs="Arial"/>
          <w:sz w:val="20"/>
          <w:szCs w:val="20"/>
        </w:rPr>
        <w: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North American Electric Reliability Corporation Reliability Standard EOP-002-3, Capacity and Energy Emergencies, updated November 19, 2012, IBR approved for §§60.4211(f) and 60.4243(d). Also available online: </w:t>
      </w:r>
      <w:r w:rsidRPr="007E5CFA">
        <w:rPr>
          <w:rFonts w:ascii="Arial" w:eastAsia="Times New Roman" w:hAnsi="Arial" w:cs="Arial"/>
          <w:i/>
          <w:iCs/>
          <w:sz w:val="20"/>
          <w:szCs w:val="20"/>
        </w:rPr>
        <w:t>http://www.nerc.com/files/EOP-002-3_1.pdf</w:t>
      </w:r>
      <w:r w:rsidRPr="007E5CFA">
        <w:rPr>
          <w:rFonts w:ascii="Arial" w:eastAsia="Times New Roman" w:hAnsi="Arial" w:cs="Arial"/>
          <w:sz w:val="20"/>
          <w:szCs w:val="20"/>
        </w:rPr>
        <w: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[Reserved]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(o) Technical Association of the Pulp and Paper Industry (TAPPI), Dunwoody Park, Atlanta, GA 30341.</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TAPPI Method T624 os-68, IBR approved for §60.285(d).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[Reserved]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(p) Underwriter's Laboratories, Inc. (UL), 333 Pfingsten Road, Northbrook, IL 60062.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UL 103, Sixth Edition revised as of September 3, 1986, Standard for Chimneys, Factory-built, Residential Type and Building Heating Appliance, IBR approved for Appendix A-8 to part 60.</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[Reserved]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(q) Water Pollution Control Federation (WPCF), 2626 Pennsylvania Avenue NW., Washington, DC 20037.</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Method 209A, Total Residue Dried at 103-105 °C, in Standard Methods for the Examination of Water and Wastewater, 15th Edition, 1980, IBR approved for §60.683(b).</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[Reserved]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(r) West Coast Lumber Inspection Bureau, 6980 SW. Barnes Road, Portland, OR 97223.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West Coast Lumber Standard Grading Rules No. 16, pages 5-21, 90 and 91, September 3, 1970, revised 1984, IBR approved for Appendix A-8 to part 60.</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[Reserved]</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[79 FR 11242, Feb. 27, 2014]</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46"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7" name="Picture 7"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19" w:name="40:7.0.1.1.1.1.151.18"/>
      <w:bookmarkEnd w:id="19"/>
      <w:r w:rsidRPr="007E5CFA">
        <w:rPr>
          <w:rFonts w:ascii="Arial" w:eastAsia="Times New Roman" w:hAnsi="Arial" w:cs="Arial"/>
          <w:b/>
          <w:bCs/>
          <w:sz w:val="20"/>
          <w:szCs w:val="20"/>
        </w:rPr>
        <w:t>§60.18   General control device and work practice requirements.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(a) </w:t>
      </w:r>
      <w:r w:rsidRPr="007E5CFA">
        <w:rPr>
          <w:rFonts w:ascii="Arial" w:eastAsia="Times New Roman" w:hAnsi="Arial" w:cs="Arial"/>
          <w:i/>
          <w:iCs/>
          <w:sz w:val="20"/>
          <w:szCs w:val="20"/>
        </w:rPr>
        <w:t>Introduction.</w:t>
      </w:r>
      <w:r w:rsidRPr="007E5CFA">
        <w:rPr>
          <w:rFonts w:ascii="Arial" w:eastAsia="Times New Roman" w:hAnsi="Arial" w:cs="Arial"/>
          <w:sz w:val="20"/>
          <w:szCs w:val="20"/>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(b) </w:t>
      </w:r>
      <w:r w:rsidRPr="007E5CFA">
        <w:rPr>
          <w:rFonts w:ascii="Arial" w:eastAsia="Times New Roman" w:hAnsi="Arial" w:cs="Arial"/>
          <w:i/>
          <w:iCs/>
          <w:sz w:val="20"/>
          <w:szCs w:val="20"/>
        </w:rPr>
        <w:t>Flares.</w:t>
      </w:r>
      <w:r w:rsidRPr="007E5CFA">
        <w:rPr>
          <w:rFonts w:ascii="Arial" w:eastAsia="Times New Roman" w:hAnsi="Arial" w:cs="Arial"/>
          <w:sz w:val="20"/>
          <w:szCs w:val="20"/>
        </w:rPr>
        <w:t xml:space="preserve"> Paragraphs (c) through (f) apply to flares.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(c)(1) Flares shall be designed for and operated with no visible emissions as determined by the methods specified in paragraph (f), except for periods not to exceed a total of 5 minutes during any 2 consecutive hours.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Flares shall be operated with a flame present at all times, as determined by the methods specified in paragraph (f).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An owner/operator has the choice of adhering to either the heat content specifications in paragraph (c</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3)(ii) of this section and the maximum tip velocity specifications in paragraph (c)(4) of this section, or adhering to the requirements in paragraph (c)(3)(i)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w:t>
      </w:r>
      <w:proofErr w:type="gramStart"/>
      <w:r w:rsidRPr="007E5CFA">
        <w:rPr>
          <w:rFonts w:ascii="Arial" w:eastAsia="Times New Roman" w:hAnsi="Arial" w:cs="Arial"/>
          <w:sz w:val="20"/>
          <w:szCs w:val="20"/>
        </w:rPr>
        <w:t>i</w:t>
      </w:r>
      <w:proofErr w:type="gramEnd"/>
      <w:r w:rsidRPr="007E5CFA">
        <w:rPr>
          <w:rFonts w:ascii="Arial" w:eastAsia="Times New Roman" w:hAnsi="Arial" w:cs="Arial"/>
          <w:sz w:val="20"/>
          <w:szCs w:val="20"/>
        </w:rPr>
        <w:t xml:space="preserve">)(A) Flares shall be used that have a diameter of 3 inches or greater, are nonassisted, have a hydrogen content of 8.0 percent (by volume), or greater, and are designed for and operated with an exit </w:t>
      </w:r>
      <w:r w:rsidRPr="007E5CFA">
        <w:rPr>
          <w:rFonts w:ascii="Arial" w:eastAsia="Times New Roman" w:hAnsi="Arial" w:cs="Arial"/>
          <w:sz w:val="20"/>
          <w:szCs w:val="20"/>
        </w:rPr>
        <w:lastRenderedPageBreak/>
        <w:t>velocity less than 37.2 m/sec (122 ft/sec) and less than the velocity, V</w:t>
      </w:r>
      <w:r w:rsidRPr="007E5CFA">
        <w:rPr>
          <w:rFonts w:ascii="Arial" w:eastAsia="Times New Roman" w:hAnsi="Arial" w:cs="Arial"/>
          <w:sz w:val="20"/>
          <w:szCs w:val="20"/>
          <w:vertAlign w:val="subscript"/>
        </w:rPr>
        <w:t>max</w:t>
      </w:r>
      <w:r w:rsidRPr="007E5CFA">
        <w:rPr>
          <w:rFonts w:ascii="Arial" w:eastAsia="Times New Roman" w:hAnsi="Arial" w:cs="Arial"/>
          <w:sz w:val="20"/>
          <w:szCs w:val="20"/>
        </w:rPr>
        <w:t>, as determined by the following equation:</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V</w:t>
      </w:r>
      <w:r w:rsidRPr="007E5CFA">
        <w:rPr>
          <w:rFonts w:ascii="Arial" w:eastAsia="Times New Roman" w:hAnsi="Arial" w:cs="Arial"/>
          <w:sz w:val="20"/>
          <w:szCs w:val="20"/>
          <w:vertAlign w:val="subscript"/>
        </w:rPr>
        <w:t>max</w:t>
      </w:r>
      <w:r w:rsidRPr="007E5CFA">
        <w:rPr>
          <w:rFonts w:ascii="Arial" w:eastAsia="Times New Roman" w:hAnsi="Arial" w:cs="Arial"/>
          <w:sz w:val="20"/>
          <w:szCs w:val="20"/>
        </w:rPr>
        <w:t xml:space="preserve"> = (X</w:t>
      </w:r>
      <w:r w:rsidRPr="007E5CFA">
        <w:rPr>
          <w:rFonts w:ascii="Arial" w:eastAsia="Times New Roman" w:hAnsi="Arial" w:cs="Arial"/>
          <w:sz w:val="20"/>
          <w:szCs w:val="20"/>
          <w:vertAlign w:val="subscript"/>
        </w:rPr>
        <w:t>H2</w:t>
      </w:r>
      <w:r w:rsidRPr="007E5CFA">
        <w:rPr>
          <w:rFonts w:ascii="Arial" w:eastAsia="Times New Roman" w:hAnsi="Arial" w:cs="Arial"/>
          <w:sz w:val="20"/>
          <w:szCs w:val="20"/>
        </w:rPr>
        <w:t>−K</w:t>
      </w:r>
      <w:r w:rsidRPr="007E5CFA">
        <w:rPr>
          <w:rFonts w:ascii="Arial" w:eastAsia="Times New Roman" w:hAnsi="Arial" w:cs="Arial"/>
          <w:sz w:val="20"/>
          <w:szCs w:val="20"/>
          <w:vertAlign w:val="subscript"/>
        </w:rPr>
        <w:t>1</w:t>
      </w:r>
      <w:r w:rsidRPr="007E5CFA">
        <w:rPr>
          <w:rFonts w:ascii="Arial" w:eastAsia="Times New Roman" w:hAnsi="Arial" w:cs="Arial"/>
          <w:sz w:val="20"/>
          <w:szCs w:val="20"/>
        </w:rPr>
        <w:t>)* K</w:t>
      </w:r>
      <w:r w:rsidRPr="007E5CFA">
        <w:rPr>
          <w:rFonts w:ascii="Arial" w:eastAsia="Times New Roman" w:hAnsi="Arial" w:cs="Arial"/>
          <w:sz w:val="20"/>
          <w:szCs w:val="20"/>
          <w:vertAlign w:val="subscript"/>
        </w:rPr>
        <w:t>2</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Where:</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V</w:t>
      </w:r>
      <w:r w:rsidRPr="007E5CFA">
        <w:rPr>
          <w:rFonts w:ascii="Arial" w:eastAsia="Times New Roman" w:hAnsi="Arial" w:cs="Arial"/>
          <w:sz w:val="20"/>
          <w:szCs w:val="20"/>
          <w:vertAlign w:val="subscript"/>
        </w:rPr>
        <w:t>max</w:t>
      </w:r>
      <w:r w:rsidRPr="007E5CFA">
        <w:rPr>
          <w:rFonts w:ascii="Arial" w:eastAsia="Times New Roman" w:hAnsi="Arial" w:cs="Arial"/>
          <w:sz w:val="20"/>
          <w:szCs w:val="20"/>
        </w:rPr>
        <w:t xml:space="preserve"> = Maximum permitted velocity, m/sec.</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K</w:t>
      </w:r>
      <w:r w:rsidRPr="007E5CFA">
        <w:rPr>
          <w:rFonts w:ascii="Arial" w:eastAsia="Times New Roman" w:hAnsi="Arial" w:cs="Arial"/>
          <w:sz w:val="20"/>
          <w:szCs w:val="20"/>
          <w:vertAlign w:val="subscript"/>
        </w:rPr>
        <w:t>1</w:t>
      </w:r>
      <w:r w:rsidRPr="007E5CFA">
        <w:rPr>
          <w:rFonts w:ascii="Arial" w:eastAsia="Times New Roman" w:hAnsi="Arial" w:cs="Arial"/>
          <w:sz w:val="20"/>
          <w:szCs w:val="20"/>
        </w:rPr>
        <w:t xml:space="preserve"> = Constant, 6.0 volume-percent hydrogen.</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K</w:t>
      </w:r>
      <w:r w:rsidRPr="007E5CFA">
        <w:rPr>
          <w:rFonts w:ascii="Arial" w:eastAsia="Times New Roman" w:hAnsi="Arial" w:cs="Arial"/>
          <w:sz w:val="20"/>
          <w:szCs w:val="20"/>
          <w:vertAlign w:val="subscript"/>
        </w:rPr>
        <w:t>2</w:t>
      </w:r>
      <w:r w:rsidRPr="007E5CFA">
        <w:rPr>
          <w:rFonts w:ascii="Arial" w:eastAsia="Times New Roman" w:hAnsi="Arial" w:cs="Arial"/>
          <w:sz w:val="20"/>
          <w:szCs w:val="20"/>
        </w:rPr>
        <w:t xml:space="preserve"> = Constant, 3.9(m/sec)/volume-percent hydrogen.</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X</w:t>
      </w:r>
      <w:r w:rsidRPr="007E5CFA">
        <w:rPr>
          <w:rFonts w:ascii="Arial" w:eastAsia="Times New Roman" w:hAnsi="Arial" w:cs="Arial"/>
          <w:sz w:val="20"/>
          <w:szCs w:val="20"/>
          <w:vertAlign w:val="subscript"/>
        </w:rPr>
        <w:t>H2</w:t>
      </w:r>
      <w:r w:rsidRPr="007E5CFA">
        <w:rPr>
          <w:rFonts w:ascii="Arial" w:eastAsia="Times New Roman" w:hAnsi="Arial" w:cs="Arial"/>
          <w:sz w:val="20"/>
          <w:szCs w:val="20"/>
        </w:rPr>
        <w:t xml:space="preserve"> = </w:t>
      </w:r>
      <w:proofErr w:type="gramStart"/>
      <w:r w:rsidRPr="007E5CFA">
        <w:rPr>
          <w:rFonts w:ascii="Arial" w:eastAsia="Times New Roman" w:hAnsi="Arial" w:cs="Arial"/>
          <w:sz w:val="20"/>
          <w:szCs w:val="20"/>
        </w:rPr>
        <w:t>The</w:t>
      </w:r>
      <w:proofErr w:type="gramEnd"/>
      <w:r w:rsidRPr="007E5CFA">
        <w:rPr>
          <w:rFonts w:ascii="Arial" w:eastAsia="Times New Roman" w:hAnsi="Arial" w:cs="Arial"/>
          <w:sz w:val="20"/>
          <w:szCs w:val="20"/>
        </w:rPr>
        <w:t xml:space="preserve"> volume-percent of hydrogen, on a wet basis, as calculated by using the American Society for Testing and Materials (ASTM) Method D1946-77. (Incorporated by reference as specified in §60.17).</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(B) The actual exit velocity of a flare shall be determined by the method specified in paragraph (f</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4)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3)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Steam-assisted and nonassisted flares designed for and operated with an exit velocity, as determined by the methods specified in paragraph (f</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4), equal to or greater than 18.3 m/sec (60 ft/sec) but less than 122 m/sec (400 ft/sec) are allowed if the net heating value of the gas being combusted is greater than 37.3 MJ/scm (1,000 Btu/scf).</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(iii) Steam-assisted and nonassisted flares designed for and operated with an exit velocity, as determined by the methods specified in paragraph (f)(4), less than the velocity, V</w:t>
      </w:r>
      <w:r w:rsidRPr="007E5CFA">
        <w:rPr>
          <w:rFonts w:ascii="Arial" w:eastAsia="Times New Roman" w:hAnsi="Arial" w:cs="Arial"/>
          <w:sz w:val="20"/>
          <w:szCs w:val="20"/>
          <w:vertAlign w:val="subscript"/>
        </w:rPr>
        <w:t>max</w:t>
      </w:r>
      <w:r w:rsidRPr="007E5CFA">
        <w:rPr>
          <w:rFonts w:ascii="Arial" w:eastAsia="Times New Roman" w:hAnsi="Arial" w:cs="Arial"/>
          <w:sz w:val="20"/>
          <w:szCs w:val="20"/>
        </w:rPr>
        <w:t>, as determined by the method specified in paragraph (f)(5), and less than 122 m/sec (400 ft/sec) are allowed.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 Air-assisted flares shall be designed and operated with an exit velocity less than the velocity, V</w:t>
      </w:r>
      <w:r w:rsidRPr="007E5CFA">
        <w:rPr>
          <w:rFonts w:ascii="Arial" w:eastAsia="Times New Roman" w:hAnsi="Arial" w:cs="Arial"/>
          <w:sz w:val="20"/>
          <w:szCs w:val="20"/>
          <w:vertAlign w:val="subscript"/>
        </w:rPr>
        <w:t>max</w:t>
      </w:r>
      <w:r w:rsidRPr="007E5CFA">
        <w:rPr>
          <w:rFonts w:ascii="Arial" w:eastAsia="Times New Roman" w:hAnsi="Arial" w:cs="Arial"/>
          <w:sz w:val="20"/>
          <w:szCs w:val="20"/>
        </w:rPr>
        <w:t>, as determined by the method specified in paragraph (f)(6).</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 Flares used to comply with this section shall be steam-assisted, air-assisted, or nonassisted.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(e) Flares used to comply with provisions of this subpart shall be operated at all times when emissions may be vented to them.</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(f)(1) Method 22 of appendix A to this part shall be used to determine the compliance of flares with the visible emission provisions of this subpart. The observation period is 2 hours and shall be used according to Method 22.</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The presence of a flare pilot flame shall be monitored using a thermocouple or any other equivalent device to detect the presence of a flame.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The net heating value of the gas being combusted in a flare shall be calculated using the following equation:</w:t>
      </w:r>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noProof/>
          <w:sz w:val="20"/>
          <w:szCs w:val="20"/>
        </w:rPr>
        <w:drawing>
          <wp:inline distT="0" distB="0" distL="0" distR="0">
            <wp:extent cx="1094105" cy="297180"/>
            <wp:effectExtent l="0" t="0" r="0" b="7620"/>
            <wp:docPr id="6" name="Picture 6"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c01jn92.008.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94105" cy="297180"/>
                    </a:xfrm>
                    <a:prstGeom prst="rect">
                      <a:avLst/>
                    </a:prstGeom>
                    <a:noFill/>
                    <a:ln>
                      <a:noFill/>
                    </a:ln>
                  </pic:spPr>
                </pic:pic>
              </a:graphicData>
            </a:graphic>
          </wp:inline>
        </w:drawing>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hyperlink r:id="rId48" w:history="1">
        <w:r w:rsidRPr="007E5CFA">
          <w:rPr>
            <w:rFonts w:ascii="Arial" w:eastAsia="Times New Roman" w:hAnsi="Arial" w:cs="Arial"/>
            <w:color w:val="0000FF"/>
            <w:sz w:val="20"/>
            <w:szCs w:val="20"/>
          </w:rPr>
          <w:t>View or download PDF</w:t>
        </w:r>
      </w:hyperlink>
    </w:p>
    <w:p w:rsidR="007E5CFA" w:rsidRPr="007E5CFA" w:rsidRDefault="007E5CFA" w:rsidP="007E5CFA">
      <w:pPr>
        <w:spacing w:before="200" w:after="100" w:afterAutospacing="1" w:line="240" w:lineRule="auto"/>
        <w:rPr>
          <w:rFonts w:ascii="Arial" w:eastAsia="Times New Roman" w:hAnsi="Arial" w:cs="Arial"/>
          <w:sz w:val="20"/>
          <w:szCs w:val="20"/>
        </w:rPr>
      </w:pPr>
      <w:proofErr w:type="gramStart"/>
      <w:r w:rsidRPr="007E5CFA">
        <w:rPr>
          <w:rFonts w:ascii="Arial" w:eastAsia="Times New Roman" w:hAnsi="Arial" w:cs="Arial"/>
          <w:sz w:val="20"/>
          <w:szCs w:val="20"/>
        </w:rPr>
        <w:t>where</w:t>
      </w:r>
      <w:proofErr w:type="gramEnd"/>
      <w:r w:rsidRPr="007E5CFA">
        <w:rPr>
          <w:rFonts w:ascii="Arial" w:eastAsia="Times New Roman" w:hAnsi="Arial" w:cs="Arial"/>
          <w:sz w:val="20"/>
          <w:szCs w:val="20"/>
        </w:rPr>
        <w:t>:</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H</w:t>
      </w:r>
      <w:r w:rsidRPr="007E5CFA">
        <w:rPr>
          <w:rFonts w:ascii="Arial" w:eastAsia="Times New Roman" w:hAnsi="Arial" w:cs="Arial"/>
          <w:sz w:val="20"/>
          <w:szCs w:val="20"/>
          <w:vertAlign w:val="subscript"/>
        </w:rPr>
        <w:t>T</w:t>
      </w:r>
      <w:r w:rsidRPr="007E5CFA">
        <w:rPr>
          <w:rFonts w:ascii="Arial" w:eastAsia="Times New Roman" w:hAnsi="Arial" w:cs="Arial"/>
          <w:sz w:val="20"/>
          <w:szCs w:val="20"/>
        </w:rPr>
        <w:t xml:space="preserve"> = Net heating value of the sample, MJ/scm; where the net enthalpy per mole of offgas is based on combustion at 25 °C and 760 mm Hg, but the standard temperature for determining the volume corresponding to one mole is 20 °C;</w:t>
      </w:r>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noProof/>
          <w:sz w:val="20"/>
          <w:szCs w:val="20"/>
        </w:rPr>
        <w:drawing>
          <wp:inline distT="0" distB="0" distL="0" distR="0">
            <wp:extent cx="3382645" cy="583565"/>
            <wp:effectExtent l="0" t="0" r="8255" b="6985"/>
            <wp:docPr id="5" name="Picture 5"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c01jn92.009.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382645" cy="583565"/>
                    </a:xfrm>
                    <a:prstGeom prst="rect">
                      <a:avLst/>
                    </a:prstGeom>
                    <a:noFill/>
                    <a:ln>
                      <a:noFill/>
                    </a:ln>
                  </pic:spPr>
                </pic:pic>
              </a:graphicData>
            </a:graphic>
          </wp:inline>
        </w:drawing>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hyperlink r:id="rId50" w:history="1">
        <w:r w:rsidRPr="007E5CFA">
          <w:rPr>
            <w:rFonts w:ascii="Arial" w:eastAsia="Times New Roman" w:hAnsi="Arial" w:cs="Arial"/>
            <w:color w:val="0000FF"/>
            <w:sz w:val="20"/>
            <w:szCs w:val="20"/>
          </w:rPr>
          <w:t>View or download PDF</w:t>
        </w:r>
      </w:hyperlink>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C</w:t>
      </w:r>
      <w:r w:rsidRPr="007E5CFA">
        <w:rPr>
          <w:rFonts w:ascii="Arial" w:eastAsia="Times New Roman" w:hAnsi="Arial" w:cs="Arial"/>
          <w:sz w:val="20"/>
          <w:szCs w:val="20"/>
          <w:vertAlign w:val="subscript"/>
        </w:rPr>
        <w:t>i</w:t>
      </w:r>
      <w:r w:rsidRPr="007E5CFA">
        <w:rPr>
          <w:rFonts w:ascii="Arial" w:eastAsia="Times New Roman" w:hAnsi="Arial" w:cs="Arial"/>
          <w:sz w:val="20"/>
          <w:szCs w:val="20"/>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H</w:t>
      </w:r>
      <w:r w:rsidRPr="007E5CFA">
        <w:rPr>
          <w:rFonts w:ascii="Arial" w:eastAsia="Times New Roman" w:hAnsi="Arial" w:cs="Arial"/>
          <w:sz w:val="20"/>
          <w:szCs w:val="20"/>
          <w:vertAlign w:val="subscript"/>
        </w:rPr>
        <w:t>i</w:t>
      </w:r>
      <w:r w:rsidRPr="007E5CFA">
        <w:rPr>
          <w:rFonts w:ascii="Arial" w:eastAsia="Times New Roman" w:hAnsi="Arial" w:cs="Arial"/>
          <w:sz w:val="20"/>
          <w:szCs w:val="20"/>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 The maximum permitted velocity, V</w:t>
      </w:r>
      <w:r w:rsidRPr="007E5CFA">
        <w:rPr>
          <w:rFonts w:ascii="Arial" w:eastAsia="Times New Roman" w:hAnsi="Arial" w:cs="Arial"/>
          <w:sz w:val="20"/>
          <w:szCs w:val="20"/>
          <w:vertAlign w:val="subscript"/>
        </w:rPr>
        <w:t>max</w:t>
      </w:r>
      <w:r w:rsidRPr="007E5CFA">
        <w:rPr>
          <w:rFonts w:ascii="Arial" w:eastAsia="Times New Roman" w:hAnsi="Arial" w:cs="Arial"/>
          <w:sz w:val="20"/>
          <w:szCs w:val="20"/>
        </w:rPr>
        <w:t>, for flares complying with paragraph (c</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4)(iii) shall be determined by the following equation.</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Log</w:t>
      </w:r>
      <w:r w:rsidRPr="007E5CFA">
        <w:rPr>
          <w:rFonts w:ascii="Arial" w:eastAsia="Times New Roman" w:hAnsi="Arial" w:cs="Arial"/>
          <w:sz w:val="20"/>
          <w:szCs w:val="20"/>
          <w:vertAlign w:val="subscript"/>
        </w:rPr>
        <w:t>10</w:t>
      </w:r>
      <w:r w:rsidRPr="007E5CFA">
        <w:rPr>
          <w:rFonts w:ascii="Arial" w:eastAsia="Times New Roman" w:hAnsi="Arial" w:cs="Arial"/>
          <w:sz w:val="20"/>
          <w:szCs w:val="20"/>
        </w:rPr>
        <w:t xml:space="preserve"> (V</w:t>
      </w:r>
      <w:r w:rsidRPr="007E5CFA">
        <w:rPr>
          <w:rFonts w:ascii="Arial" w:eastAsia="Times New Roman" w:hAnsi="Arial" w:cs="Arial"/>
          <w:sz w:val="20"/>
          <w:szCs w:val="20"/>
          <w:vertAlign w:val="subscript"/>
        </w:rPr>
        <w:t>max</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(H</w:t>
      </w:r>
      <w:r w:rsidRPr="007E5CFA">
        <w:rPr>
          <w:rFonts w:ascii="Arial" w:eastAsia="Times New Roman" w:hAnsi="Arial" w:cs="Arial"/>
          <w:sz w:val="20"/>
          <w:szCs w:val="20"/>
          <w:vertAlign w:val="subscript"/>
        </w:rPr>
        <w:t>T</w:t>
      </w:r>
      <w:r w:rsidRPr="007E5CFA">
        <w:rPr>
          <w:rFonts w:ascii="Arial" w:eastAsia="Times New Roman" w:hAnsi="Arial" w:cs="Arial"/>
          <w:sz w:val="20"/>
          <w:szCs w:val="20"/>
        </w:rPr>
        <w:t>+28.8)/31.7</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V</w:t>
      </w:r>
      <w:r w:rsidRPr="007E5CFA">
        <w:rPr>
          <w:rFonts w:ascii="Arial" w:eastAsia="Times New Roman" w:hAnsi="Arial" w:cs="Arial"/>
          <w:sz w:val="20"/>
          <w:szCs w:val="20"/>
          <w:vertAlign w:val="subscript"/>
        </w:rPr>
        <w:t>max</w:t>
      </w:r>
      <w:r w:rsidRPr="007E5CFA">
        <w:rPr>
          <w:rFonts w:ascii="Arial" w:eastAsia="Times New Roman" w:hAnsi="Arial" w:cs="Arial"/>
          <w:sz w:val="20"/>
          <w:szCs w:val="20"/>
        </w:rPr>
        <w:t xml:space="preserve"> = Maximum permitted velocity, M/sec</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28.8=Constant</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31.7=Constant</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H</w:t>
      </w:r>
      <w:r w:rsidRPr="007E5CFA">
        <w:rPr>
          <w:rFonts w:ascii="Arial" w:eastAsia="Times New Roman" w:hAnsi="Arial" w:cs="Arial"/>
          <w:sz w:val="20"/>
          <w:szCs w:val="20"/>
          <w:vertAlign w:val="subscript"/>
        </w:rPr>
        <w:t>T</w:t>
      </w:r>
      <w:r w:rsidRPr="007E5CFA">
        <w:rPr>
          <w:rFonts w:ascii="Arial" w:eastAsia="Times New Roman" w:hAnsi="Arial" w:cs="Arial"/>
          <w:sz w:val="20"/>
          <w:szCs w:val="20"/>
        </w:rPr>
        <w:t xml:space="preserve"> = The net heating value as determined in paragraph (f</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(6) The maximum permitted velocity, V</w:t>
      </w:r>
      <w:r w:rsidRPr="007E5CFA">
        <w:rPr>
          <w:rFonts w:ascii="Arial" w:eastAsia="Times New Roman" w:hAnsi="Arial" w:cs="Arial"/>
          <w:sz w:val="20"/>
          <w:szCs w:val="20"/>
          <w:vertAlign w:val="subscript"/>
        </w:rPr>
        <w:t>max</w:t>
      </w:r>
      <w:r w:rsidRPr="007E5CFA">
        <w:rPr>
          <w:rFonts w:ascii="Arial" w:eastAsia="Times New Roman" w:hAnsi="Arial" w:cs="Arial"/>
          <w:sz w:val="20"/>
          <w:szCs w:val="20"/>
        </w:rPr>
        <w:t>, for air-assisted flares shall be determined by the following equation.</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V</w:t>
      </w:r>
      <w:r w:rsidRPr="007E5CFA">
        <w:rPr>
          <w:rFonts w:ascii="Arial" w:eastAsia="Times New Roman" w:hAnsi="Arial" w:cs="Arial"/>
          <w:sz w:val="20"/>
          <w:szCs w:val="20"/>
          <w:vertAlign w:val="subscript"/>
        </w:rPr>
        <w:t>max</w:t>
      </w:r>
      <w:r w:rsidRPr="007E5CFA">
        <w:rPr>
          <w:rFonts w:ascii="Arial" w:eastAsia="Times New Roman" w:hAnsi="Arial" w:cs="Arial"/>
          <w:sz w:val="20"/>
          <w:szCs w:val="20"/>
        </w:rPr>
        <w:t xml:space="preserve"> = 8.706+0.7084 (H</w:t>
      </w:r>
      <w:r w:rsidRPr="007E5CFA">
        <w:rPr>
          <w:rFonts w:ascii="Arial" w:eastAsia="Times New Roman" w:hAnsi="Arial" w:cs="Arial"/>
          <w:sz w:val="20"/>
          <w:szCs w:val="20"/>
          <w:vertAlign w:val="subscript"/>
        </w:rPr>
        <w:t>T</w:t>
      </w:r>
      <w:r w:rsidRPr="007E5CFA">
        <w:rPr>
          <w:rFonts w:ascii="Arial" w:eastAsia="Times New Roman" w:hAnsi="Arial" w:cs="Arial"/>
          <w:sz w:val="20"/>
          <w:szCs w:val="20"/>
        </w:rPr>
        <w:t>)</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V</w:t>
      </w:r>
      <w:r w:rsidRPr="007E5CFA">
        <w:rPr>
          <w:rFonts w:ascii="Arial" w:eastAsia="Times New Roman" w:hAnsi="Arial" w:cs="Arial"/>
          <w:sz w:val="20"/>
          <w:szCs w:val="20"/>
          <w:vertAlign w:val="subscript"/>
        </w:rPr>
        <w:t>max</w:t>
      </w:r>
      <w:r w:rsidRPr="007E5CFA">
        <w:rPr>
          <w:rFonts w:ascii="Arial" w:eastAsia="Times New Roman" w:hAnsi="Arial" w:cs="Arial"/>
          <w:sz w:val="20"/>
          <w:szCs w:val="20"/>
        </w:rPr>
        <w:t xml:space="preserve"> = Maximum permitted velocity, m/sec</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8.706=Constant</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0.7084=Constant</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H</w:t>
      </w:r>
      <w:r w:rsidRPr="007E5CFA">
        <w:rPr>
          <w:rFonts w:ascii="Arial" w:eastAsia="Times New Roman" w:hAnsi="Arial" w:cs="Arial"/>
          <w:sz w:val="20"/>
          <w:szCs w:val="20"/>
          <w:vertAlign w:val="subscript"/>
        </w:rPr>
        <w:t>T</w:t>
      </w:r>
      <w:r w:rsidRPr="007E5CFA">
        <w:rPr>
          <w:rFonts w:ascii="Arial" w:eastAsia="Times New Roman" w:hAnsi="Arial" w:cs="Arial"/>
          <w:sz w:val="20"/>
          <w:szCs w:val="20"/>
        </w:rPr>
        <w:t xml:space="preserve"> = The net heating value as determined in paragraph (f</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3).</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(g) </w:t>
      </w:r>
      <w:r w:rsidRPr="007E5CFA">
        <w:rPr>
          <w:rFonts w:ascii="Arial" w:eastAsia="Times New Roman" w:hAnsi="Arial" w:cs="Arial"/>
          <w:i/>
          <w:iCs/>
          <w:sz w:val="20"/>
          <w:szCs w:val="20"/>
        </w:rPr>
        <w:t>Alternative work practice for monitoring equipment for leaks.</w:t>
      </w:r>
      <w:r w:rsidRPr="007E5CFA">
        <w:rPr>
          <w:rFonts w:ascii="Arial" w:eastAsia="Times New Roman" w:hAnsi="Arial" w:cs="Arial"/>
          <w:sz w:val="20"/>
          <w:szCs w:val="20"/>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1) through (5) of this section have meanings that are specific to the alternative work practice standard in paragraphs (g), (h), and (i)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(1) </w:t>
      </w:r>
      <w:r w:rsidRPr="007E5CFA">
        <w:rPr>
          <w:rFonts w:ascii="Arial" w:eastAsia="Times New Roman" w:hAnsi="Arial" w:cs="Arial"/>
          <w:i/>
          <w:iCs/>
          <w:sz w:val="20"/>
          <w:szCs w:val="20"/>
        </w:rPr>
        <w:t>Applicable subpart</w:t>
      </w:r>
      <w:r w:rsidRPr="007E5CFA">
        <w:rPr>
          <w:rFonts w:ascii="Arial" w:eastAsia="Times New Roman" w:hAnsi="Arial" w:cs="Arial"/>
          <w:sz w:val="20"/>
          <w:szCs w:val="20"/>
        </w:rPr>
        <w:t xml:space="preserve"> means the subpart in 40 CFR parts 60, 61, 63, or 65 that requires monitoring of equipment with a 40 CFR part 60, Appendix A-7, Method 21 monitor.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w:t>
      </w:r>
      <w:r w:rsidRPr="007E5CFA">
        <w:rPr>
          <w:rFonts w:ascii="Arial" w:eastAsia="Times New Roman" w:hAnsi="Arial" w:cs="Arial"/>
          <w:i/>
          <w:iCs/>
          <w:sz w:val="20"/>
          <w:szCs w:val="20"/>
        </w:rPr>
        <w:t>Equipment</w:t>
      </w:r>
      <w:r w:rsidRPr="007E5CFA">
        <w:rPr>
          <w:rFonts w:ascii="Arial" w:eastAsia="Times New Roman" w:hAnsi="Arial" w:cs="Arial"/>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 </w:t>
      </w:r>
      <w:r w:rsidRPr="007E5CFA">
        <w:rPr>
          <w:rFonts w:ascii="Arial" w:eastAsia="Times New Roman" w:hAnsi="Arial" w:cs="Arial"/>
          <w:i/>
          <w:iCs/>
          <w:sz w:val="20"/>
          <w:szCs w:val="20"/>
        </w:rPr>
        <w:t>Imaging</w:t>
      </w:r>
      <w:r w:rsidRPr="007E5CFA">
        <w:rPr>
          <w:rFonts w:ascii="Arial" w:eastAsia="Times New Roman" w:hAnsi="Arial" w:cs="Arial"/>
          <w:sz w:val="20"/>
          <w:szCs w:val="20"/>
        </w:rPr>
        <w:t xml:space="preserve"> means making visible emissions that may otherwise be invisible to the naked eye.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 </w:t>
      </w:r>
      <w:r w:rsidRPr="007E5CFA">
        <w:rPr>
          <w:rFonts w:ascii="Arial" w:eastAsia="Times New Roman" w:hAnsi="Arial" w:cs="Arial"/>
          <w:i/>
          <w:iCs/>
          <w:sz w:val="20"/>
          <w:szCs w:val="20"/>
        </w:rPr>
        <w:t>Optical gas imaging instrument</w:t>
      </w:r>
      <w:r w:rsidRPr="007E5CFA">
        <w:rPr>
          <w:rFonts w:ascii="Arial" w:eastAsia="Times New Roman" w:hAnsi="Arial" w:cs="Arial"/>
          <w:sz w:val="20"/>
          <w:szCs w:val="20"/>
        </w:rPr>
        <w:t xml:space="preserve"> means an instrument that makes visible emissions that may otherwise be invisible to the naked eye.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(5) </w:t>
      </w:r>
      <w:r w:rsidRPr="007E5CFA">
        <w:rPr>
          <w:rFonts w:ascii="Arial" w:eastAsia="Times New Roman" w:hAnsi="Arial" w:cs="Arial"/>
          <w:i/>
          <w:iCs/>
          <w:sz w:val="20"/>
          <w:szCs w:val="20"/>
        </w:rPr>
        <w:t>Repair</w:t>
      </w:r>
      <w:r w:rsidRPr="007E5CFA">
        <w:rPr>
          <w:rFonts w:ascii="Arial" w:eastAsia="Times New Roman" w:hAnsi="Arial" w:cs="Arial"/>
          <w:sz w:val="20"/>
          <w:szCs w:val="20"/>
        </w:rPr>
        <w:t xml:space="preserve"> means that equipment is adjusted, or otherwise altered, in order to eliminate a leak.</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(6) </w:t>
      </w:r>
      <w:r w:rsidRPr="007E5CFA">
        <w:rPr>
          <w:rFonts w:ascii="Arial" w:eastAsia="Times New Roman" w:hAnsi="Arial" w:cs="Arial"/>
          <w:i/>
          <w:iCs/>
          <w:sz w:val="20"/>
          <w:szCs w:val="20"/>
        </w:rPr>
        <w:t>Leak</w:t>
      </w:r>
      <w:r w:rsidRPr="007E5CFA">
        <w:rPr>
          <w:rFonts w:ascii="Arial" w:eastAsia="Times New Roman" w:hAnsi="Arial" w:cs="Arial"/>
          <w:sz w:val="20"/>
          <w:szCs w:val="20"/>
        </w:rPr>
        <w:t xml:space="preserve"> means: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Any emissions imaged by the optical gas instrument;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Indications of liquids dripping;</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(iii) Indications by a sensor that a seal or barrier fluid system has failed; or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roofErr w:type="gramStart"/>
      <w:r w:rsidRPr="007E5CFA">
        <w:rPr>
          <w:rFonts w:ascii="Arial" w:eastAsia="Times New Roman" w:hAnsi="Arial" w:cs="Arial"/>
          <w:sz w:val="20"/>
          <w:szCs w:val="20"/>
        </w:rPr>
        <w:t>(iv) Screening</w:t>
      </w:r>
      <w:proofErr w:type="gramEnd"/>
      <w:r w:rsidRPr="007E5CFA">
        <w:rPr>
          <w:rFonts w:ascii="Arial" w:eastAsia="Times New Roman" w:hAnsi="Arial" w:cs="Arial"/>
          <w:sz w:val="20"/>
          <w:szCs w:val="20"/>
        </w:rPr>
        <w:t xml:space="preserve"> results using a 40 CFR part 60, Appendix A-7, Method 21 monitor that exceed the leak definition in the applicable subpart to which the equipment is subject.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(h) The alternative work practice standard for monitoring equipment for leaks is available to all subparts in 40 CFR parts 60, 61, 63, and 65 that require monitoring of equipment with a 40 CFR part 60, Appendix A-7, Method 21 monitor.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(2) Any leak detected when following the leak survey procedure in paragraph (i</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3) of this section must be identified for repair as required in the applicable subpart.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(4) The schedule for repair is as required in the applicable subpart.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(6) When this alternative work practice is used for detecting leaking equipment the following are not applicable for the equipment being monitored: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Skip period leak detection and repair;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Quality improvement plans; or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(iii) Complying with standards for allowable percentage of valves and pumps to leak.</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An owner or operator of an affected source who chooses to use the alternative work practice must comply with the requirements of paragraphs (i</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1) through (i)(5)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(1) Instrument Specifications. The optical gas imaging instrument must comply with the requirements in (i</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1)(i) and (i)(1)(ii)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Provide the operator with an image of the potential leak points for each piece of equipment at both the detection sensitivity level and within the distance used in the daily instrument check described in paragraph (i</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2) of this section. The detection sensitivity level depends upon the frequency at which leak monitoring is to be performed.</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Provide a date and time stamp for video records of every monitoring event.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Daily Instrument Check. On a daily basis, and prior to beginning any leak monitoring work, test the optical gas imaging instrument at the mass flow rate determined in paragraph (i)(2)(i) of this section in </w:t>
      </w:r>
      <w:r w:rsidRPr="007E5CFA">
        <w:rPr>
          <w:rFonts w:ascii="Arial" w:eastAsia="Times New Roman" w:hAnsi="Arial" w:cs="Arial"/>
          <w:sz w:val="20"/>
          <w:szCs w:val="20"/>
        </w:rPr>
        <w:lastRenderedPageBreak/>
        <w:t>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Calculate the mass flow rate to be used in the daily instrument check by following the procedures in paragraphs (i)(2)(i)(A) and (i)(2)(i)(B)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noProof/>
          <w:sz w:val="20"/>
          <w:szCs w:val="20"/>
        </w:rPr>
        <w:drawing>
          <wp:inline distT="0" distB="0" distL="0" distR="0">
            <wp:extent cx="819150" cy="342265"/>
            <wp:effectExtent l="0" t="0" r="0" b="635"/>
            <wp:docPr id="4" name="Picture 4"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22de08.007.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819150" cy="342265"/>
                    </a:xfrm>
                    <a:prstGeom prst="rect">
                      <a:avLst/>
                    </a:prstGeom>
                    <a:noFill/>
                    <a:ln>
                      <a:noFill/>
                    </a:ln>
                  </pic:spPr>
                </pic:pic>
              </a:graphicData>
            </a:graphic>
          </wp:inline>
        </w:drawing>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hyperlink r:id="rId52" w:history="1">
        <w:r w:rsidRPr="007E5CFA">
          <w:rPr>
            <w:rFonts w:ascii="Arial" w:eastAsia="Times New Roman" w:hAnsi="Arial" w:cs="Arial"/>
            <w:color w:val="0000FF"/>
            <w:sz w:val="20"/>
            <w:szCs w:val="20"/>
          </w:rPr>
          <w:t>View or download PDF</w:t>
        </w:r>
      </w:hyperlink>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Where:</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E</w:t>
      </w:r>
      <w:r w:rsidRPr="007E5CFA">
        <w:rPr>
          <w:rFonts w:ascii="Arial" w:eastAsia="Times New Roman" w:hAnsi="Arial" w:cs="Arial"/>
          <w:sz w:val="20"/>
          <w:szCs w:val="20"/>
          <w:vertAlign w:val="subscript"/>
        </w:rPr>
        <w:t>dic</w:t>
      </w:r>
      <w:r w:rsidRPr="007E5CFA">
        <w:rPr>
          <w:rFonts w:ascii="Arial" w:eastAsia="Times New Roman" w:hAnsi="Arial" w:cs="Arial"/>
          <w:sz w:val="20"/>
          <w:szCs w:val="20"/>
        </w:rPr>
        <w:t xml:space="preserve"> = Mass flow rate for the daily instrument check, grams per hour </w:t>
      </w:r>
    </w:p>
    <w:p w:rsidR="007E5CFA" w:rsidRPr="007E5CFA" w:rsidRDefault="007E5CFA" w:rsidP="007E5CFA">
      <w:pPr>
        <w:spacing w:before="200" w:after="100" w:line="240" w:lineRule="auto"/>
        <w:ind w:left="960" w:hanging="960"/>
        <w:rPr>
          <w:rFonts w:ascii="Arial" w:eastAsia="Times New Roman" w:hAnsi="Arial" w:cs="Arial"/>
          <w:sz w:val="20"/>
          <w:szCs w:val="20"/>
        </w:rPr>
      </w:pPr>
      <w:proofErr w:type="gramStart"/>
      <w:r w:rsidRPr="007E5CFA">
        <w:rPr>
          <w:rFonts w:ascii="Arial" w:eastAsia="Times New Roman" w:hAnsi="Arial" w:cs="Arial"/>
          <w:sz w:val="20"/>
          <w:szCs w:val="20"/>
        </w:rPr>
        <w:t>x</w:t>
      </w:r>
      <w:r w:rsidRPr="007E5CFA">
        <w:rPr>
          <w:rFonts w:ascii="Arial" w:eastAsia="Times New Roman" w:hAnsi="Arial" w:cs="Arial"/>
          <w:sz w:val="20"/>
          <w:szCs w:val="20"/>
          <w:vertAlign w:val="subscript"/>
        </w:rPr>
        <w:t>i</w:t>
      </w:r>
      <w:proofErr w:type="gramEnd"/>
      <w:r w:rsidRPr="007E5CFA">
        <w:rPr>
          <w:rFonts w:ascii="Arial" w:eastAsia="Times New Roman" w:hAnsi="Arial" w:cs="Arial"/>
          <w:sz w:val="20"/>
          <w:szCs w:val="20"/>
        </w:rPr>
        <w:t xml:space="preserve"> = Mass fraction of detectable chemical(s) i seen by the optical gas imaging instrument, within the distance to be used in paragraph (i)(2)(iv)(B) of this section, at or below the standard detection sensitivity level, E</w:t>
      </w:r>
      <w:r w:rsidRPr="007E5CFA">
        <w:rPr>
          <w:rFonts w:ascii="Arial" w:eastAsia="Times New Roman" w:hAnsi="Arial" w:cs="Arial"/>
          <w:sz w:val="20"/>
          <w:szCs w:val="20"/>
          <w:vertAlign w:val="subscript"/>
        </w:rPr>
        <w:t>sds.</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E</w:t>
      </w:r>
      <w:r w:rsidRPr="007E5CFA">
        <w:rPr>
          <w:rFonts w:ascii="Arial" w:eastAsia="Times New Roman" w:hAnsi="Arial" w:cs="Arial"/>
          <w:sz w:val="20"/>
          <w:szCs w:val="20"/>
          <w:vertAlign w:val="subscript"/>
        </w:rPr>
        <w:t>sds</w:t>
      </w:r>
      <w:r w:rsidRPr="007E5CFA">
        <w:rPr>
          <w:rFonts w:ascii="Arial" w:eastAsia="Times New Roman" w:hAnsi="Arial" w:cs="Arial"/>
          <w:sz w:val="20"/>
          <w:szCs w:val="20"/>
        </w:rPr>
        <w:t xml:space="preserve"> = Standard detection sensitivity level from Table 1 to subpart A, grams per hour </w:t>
      </w:r>
    </w:p>
    <w:p w:rsidR="007E5CFA" w:rsidRPr="007E5CFA" w:rsidRDefault="007E5CFA" w:rsidP="007E5CFA">
      <w:pPr>
        <w:spacing w:before="200" w:after="100" w:line="240" w:lineRule="auto"/>
        <w:ind w:left="960" w:hanging="960"/>
        <w:rPr>
          <w:rFonts w:ascii="Arial" w:eastAsia="Times New Roman" w:hAnsi="Arial" w:cs="Arial"/>
          <w:sz w:val="20"/>
          <w:szCs w:val="20"/>
        </w:rPr>
      </w:pPr>
      <w:r w:rsidRPr="007E5CFA">
        <w:rPr>
          <w:rFonts w:ascii="Arial" w:eastAsia="Times New Roman" w:hAnsi="Arial" w:cs="Arial"/>
          <w:sz w:val="20"/>
          <w:szCs w:val="20"/>
        </w:rPr>
        <w:t>k = Total number of detectable chemicals emitted from the leaking equipment and seen by the optical gas imaging instrument.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Start the optical gas imaging instrument according to the manufacturer's instructions, ensuring that all appropriate settings conform to the manufacturer's instructions.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(iii) Use any gas chosen by the user that can be viewed by the optical gas imaging instrument and that has a purity of no less than 98 percent.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roofErr w:type="gramStart"/>
      <w:r w:rsidRPr="007E5CFA">
        <w:rPr>
          <w:rFonts w:ascii="Arial" w:eastAsia="Times New Roman" w:hAnsi="Arial" w:cs="Arial"/>
          <w:sz w:val="20"/>
          <w:szCs w:val="20"/>
        </w:rPr>
        <w:t>(iv) Establish</w:t>
      </w:r>
      <w:proofErr w:type="gramEnd"/>
      <w:r w:rsidRPr="007E5CFA">
        <w:rPr>
          <w:rFonts w:ascii="Arial" w:eastAsia="Times New Roman" w:hAnsi="Arial" w:cs="Arial"/>
          <w:sz w:val="20"/>
          <w:szCs w:val="20"/>
        </w:rPr>
        <w:t xml:space="preserve"> a mass flow rate by using the following procedures: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(A) Provide a source of gas where it will be in the field of view of the optical gas imaging instrument.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lastRenderedPageBreak/>
        <w:t>(v) Repeat the procedures specified in paragraphs (i</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2)(ii) through (i)(2)(iv) of this section for each configuration of the optical gas imaging instrument used during the leak survey.</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roofErr w:type="gramStart"/>
      <w:r w:rsidRPr="007E5CFA">
        <w:rPr>
          <w:rFonts w:ascii="Arial" w:eastAsia="Times New Roman" w:hAnsi="Arial" w:cs="Arial"/>
          <w:sz w:val="20"/>
          <w:szCs w:val="20"/>
        </w:rPr>
        <w:t>(vi) To</w:t>
      </w:r>
      <w:proofErr w:type="gramEnd"/>
      <w:r w:rsidRPr="007E5CFA">
        <w:rPr>
          <w:rFonts w:ascii="Arial" w:eastAsia="Times New Roman" w:hAnsi="Arial" w:cs="Arial"/>
          <w:sz w:val="20"/>
          <w:szCs w:val="20"/>
        </w:rPr>
        <w:t xml:space="preserve"> use an alternative method to demonstrate daily instrument checks, apply to the Administrator for approval of the alternative under §60.13(i).</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(4) Recordkeeping. You must keep the records described in paragraphs (i</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4)(i) through (i)(4)(vii)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 The equipment, processes, and facilities for which the owner or operator chooses to use the alternative work practice.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 The detection sensitivity level selected from Table 1 to subpart A of this part for the optical gas imaging instrument.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(iii) The analysis to determine the piece of equipment in contact with the lowest mass fraction of chemicals that are detectable, as specified in paragraph (i)(2)(i)(A)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(iv) The technical basis for the mass fraction of detectable chemicals used in the equation in paragraph (i</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2)(i)(B) of this section.</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 The daily instrument check. Record the distance, per paragraph (i</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roofErr w:type="gramStart"/>
      <w:r w:rsidRPr="007E5CFA">
        <w:rPr>
          <w:rFonts w:ascii="Arial" w:eastAsia="Times New Roman" w:hAnsi="Arial" w:cs="Arial"/>
          <w:sz w:val="20"/>
          <w:szCs w:val="20"/>
        </w:rPr>
        <w:t>(vi) Recordkeeping</w:t>
      </w:r>
      <w:proofErr w:type="gramEnd"/>
      <w:r w:rsidRPr="007E5CFA">
        <w:rPr>
          <w:rFonts w:ascii="Arial" w:eastAsia="Times New Roman" w:hAnsi="Arial" w:cs="Arial"/>
          <w:sz w:val="20"/>
          <w:szCs w:val="20"/>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(vii) The results of the annual Method 21 screening required in paragraph (h</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7) of this section. Records must be kept for all regulated equipment specified in paragraph (h</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1) of this section. Records must identify the equipment screened, the screening value measured by Method 21, the time and date of the screening, and calibration information required in the existing applicable subpart.</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(5) Reporting. Submit the reports required in the applicable subpart. Submit the records of the annual Method 21 screening required in paragraph (h</w:t>
      </w:r>
      <w:proofErr w:type="gramStart"/>
      <w:r w:rsidRPr="007E5CFA">
        <w:rPr>
          <w:rFonts w:ascii="Arial" w:eastAsia="Times New Roman" w:hAnsi="Arial" w:cs="Arial"/>
          <w:sz w:val="20"/>
          <w:szCs w:val="20"/>
        </w:rPr>
        <w:t>)(</w:t>
      </w:r>
      <w:proofErr w:type="gramEnd"/>
      <w:r w:rsidRPr="007E5CFA">
        <w:rPr>
          <w:rFonts w:ascii="Arial" w:eastAsia="Times New Roman" w:hAnsi="Arial" w:cs="Arial"/>
          <w:sz w:val="20"/>
          <w:szCs w:val="20"/>
        </w:rPr>
        <w:t xml:space="preserve">7) of this section to the Administrator via e-mail to </w:t>
      </w:r>
      <w:r w:rsidRPr="007E5CFA">
        <w:rPr>
          <w:rFonts w:ascii="Arial" w:eastAsia="Times New Roman" w:hAnsi="Arial" w:cs="Arial"/>
          <w:i/>
          <w:iCs/>
          <w:sz w:val="20"/>
          <w:szCs w:val="20"/>
        </w:rPr>
        <w:t>CCG-AWP@EPA.GOV.</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[51 FR 2701, Jan. 21, 1986, as amended at 63 FR 24444, May 4, 1998; 65 FR 61752, Oct. 17, 2000; 73 FR 78209, Dec. 22, 2008]</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53"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3" name="Picture 3"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after="100" w:line="240" w:lineRule="auto"/>
        <w:outlineLvl w:val="1"/>
        <w:rPr>
          <w:rFonts w:ascii="Arial" w:eastAsia="Times New Roman" w:hAnsi="Arial" w:cs="Arial"/>
          <w:b/>
          <w:bCs/>
          <w:sz w:val="20"/>
          <w:szCs w:val="20"/>
        </w:rPr>
      </w:pPr>
      <w:bookmarkStart w:id="20" w:name="40:7.0.1.1.1.1.151.19"/>
      <w:bookmarkEnd w:id="20"/>
      <w:r w:rsidRPr="007E5CFA">
        <w:rPr>
          <w:rFonts w:ascii="Arial" w:eastAsia="Times New Roman" w:hAnsi="Arial" w:cs="Arial"/>
          <w:b/>
          <w:bCs/>
          <w:sz w:val="20"/>
          <w:szCs w:val="20"/>
        </w:rPr>
        <w:lastRenderedPageBreak/>
        <w:t>§60.19   General notification and reporting requirements.</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(a) For the purposes of this part, time periods specified in days shall be measured in calendar days, even if the word “calendar” is absent, unless otherwise specified in an applicable requirement.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(ii) An owner or operator shall request the adjustment provided for in paragraphs (f)(2) and (f)(3) of this section each time he or she wishes to change an applicable time period or postmark deadline specified in this part.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w:t>
      </w:r>
      <w:r w:rsidRPr="007E5CFA">
        <w:rPr>
          <w:rFonts w:ascii="Arial" w:eastAsia="Times New Roman" w:hAnsi="Arial" w:cs="Arial"/>
          <w:sz w:val="20"/>
          <w:szCs w:val="20"/>
        </w:rPr>
        <w:lastRenderedPageBreak/>
        <w:t xml:space="preserve">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r w:rsidRPr="007E5CFA">
        <w:rPr>
          <w:rFonts w:ascii="Arial" w:eastAsia="Times New Roman" w:hAnsi="Arial" w:cs="Arial"/>
          <w:sz w:val="20"/>
          <w:szCs w:val="20"/>
        </w:rPr>
        <w:t xml:space="preserve">(4) If the Administrator is unable to meet a specified deadline, he or she will notify the owner or operator of any significant delay and inform the owner or operator of the amended schedule. </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 xml:space="preserve">[59 FR 12428, Mar. 16, 1994, as amended at 64 FR 7463, Feb. 12, 1998] </w:t>
      </w:r>
    </w:p>
    <w:p w:rsidR="007E5CFA" w:rsidRPr="007E5CFA" w:rsidRDefault="007E5CFA" w:rsidP="007E5CFA">
      <w:pPr>
        <w:spacing w:before="200" w:after="100" w:afterAutospacing="1" w:line="240" w:lineRule="auto"/>
        <w:rPr>
          <w:rFonts w:ascii="Arial" w:eastAsia="Times New Roman" w:hAnsi="Arial" w:cs="Arial"/>
          <w:sz w:val="20"/>
          <w:szCs w:val="20"/>
        </w:rPr>
      </w:pPr>
      <w:hyperlink r:id="rId54"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2" name="Picture 2"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p w:rsidR="007E5CFA" w:rsidRPr="007E5CFA" w:rsidRDefault="007E5CFA" w:rsidP="007E5CFA">
      <w:pPr>
        <w:spacing w:before="200" w:line="240" w:lineRule="auto"/>
        <w:outlineLvl w:val="1"/>
        <w:rPr>
          <w:rFonts w:ascii="Arial" w:eastAsia="Times New Roman" w:hAnsi="Arial" w:cs="Arial"/>
          <w:b/>
          <w:bCs/>
          <w:sz w:val="20"/>
          <w:szCs w:val="20"/>
        </w:rPr>
      </w:pPr>
      <w:bookmarkStart w:id="21" w:name="40:7.0.1.1.1.1.151.20.1"/>
      <w:bookmarkEnd w:id="21"/>
      <w:r w:rsidRPr="007E5CFA">
        <w:rPr>
          <w:rFonts w:ascii="Arial" w:eastAsia="Times New Roman" w:hAnsi="Arial" w:cs="Arial"/>
          <w:b/>
          <w:bCs/>
          <w:sz w:val="20"/>
          <w:szCs w:val="20"/>
        </w:rPr>
        <w:t xml:space="preserve">Table 1 to Subpart </w:t>
      </w:r>
      <w:proofErr w:type="gramStart"/>
      <w:r w:rsidRPr="007E5CFA">
        <w:rPr>
          <w:rFonts w:ascii="Arial" w:eastAsia="Times New Roman" w:hAnsi="Arial" w:cs="Arial"/>
          <w:b/>
          <w:bCs/>
          <w:sz w:val="20"/>
          <w:szCs w:val="20"/>
        </w:rPr>
        <w:t>A</w:t>
      </w:r>
      <w:proofErr w:type="gramEnd"/>
      <w:r w:rsidRPr="007E5CFA">
        <w:rPr>
          <w:rFonts w:ascii="Arial" w:eastAsia="Times New Roman" w:hAnsi="Arial" w:cs="Arial"/>
          <w:b/>
          <w:bCs/>
          <w:sz w:val="20"/>
          <w:szCs w:val="20"/>
        </w:rPr>
        <w:t xml:space="preserve"> of Part 60-Detection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341"/>
        <w:gridCol w:w="4003"/>
      </w:tblGrid>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Monitoring frequency per subpart</w:t>
            </w:r>
            <w:r w:rsidRPr="007E5CFA">
              <w:rPr>
                <w:rFonts w:ascii="Arial" w:eastAsia="Times New Roman" w:hAnsi="Arial" w:cs="Arial"/>
                <w:b/>
                <w:bCs/>
                <w:sz w:val="20"/>
                <w:szCs w:val="20"/>
                <w:vertAlign w:val="superscript"/>
              </w:rPr>
              <w:t>a</w:t>
            </w:r>
            <w:r w:rsidRPr="007E5CFA">
              <w:rPr>
                <w:rFonts w:ascii="Arial" w:eastAsia="Times New Roman" w:hAnsi="Arial" w:cs="Arial"/>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E5CFA" w:rsidRPr="007E5CFA" w:rsidRDefault="007E5CFA" w:rsidP="007E5CFA">
            <w:pPr>
              <w:spacing w:after="0" w:line="240" w:lineRule="auto"/>
              <w:rPr>
                <w:rFonts w:ascii="Arial" w:eastAsia="Times New Roman" w:hAnsi="Arial" w:cs="Arial"/>
                <w:b/>
                <w:bCs/>
                <w:sz w:val="20"/>
                <w:szCs w:val="20"/>
              </w:rPr>
            </w:pPr>
            <w:r w:rsidRPr="007E5CFA">
              <w:rPr>
                <w:rFonts w:ascii="Arial" w:eastAsia="Times New Roman" w:hAnsi="Arial" w:cs="Arial"/>
                <w:b/>
                <w:bCs/>
                <w:sz w:val="20"/>
                <w:szCs w:val="20"/>
              </w:rPr>
              <w:t xml:space="preserve">Detection sensitivity level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60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85 </w:t>
            </w:r>
          </w:p>
        </w:tc>
      </w:tr>
      <w:tr w:rsidR="007E5CFA" w:rsidRPr="007E5CFA" w:rsidTr="007E5CF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7E5CFA" w:rsidRPr="007E5CFA" w:rsidRDefault="007E5CFA" w:rsidP="007E5CFA">
            <w:pPr>
              <w:spacing w:after="0" w:line="240" w:lineRule="auto"/>
              <w:rPr>
                <w:rFonts w:ascii="Arial" w:eastAsia="Times New Roman" w:hAnsi="Arial" w:cs="Arial"/>
                <w:sz w:val="20"/>
                <w:szCs w:val="20"/>
              </w:rPr>
            </w:pPr>
            <w:r w:rsidRPr="007E5CFA">
              <w:rPr>
                <w:rFonts w:ascii="Arial" w:eastAsia="Times New Roman" w:hAnsi="Arial" w:cs="Arial"/>
                <w:sz w:val="20"/>
                <w:szCs w:val="20"/>
              </w:rPr>
              <w:t xml:space="preserve">100 </w:t>
            </w:r>
          </w:p>
        </w:tc>
      </w:tr>
    </w:tbl>
    <w:p w:rsidR="007E5CFA" w:rsidRPr="007E5CFA" w:rsidRDefault="007E5CFA" w:rsidP="007E5CFA">
      <w:pPr>
        <w:spacing w:before="100" w:beforeAutospacing="1" w:after="100" w:afterAutospacing="1" w:line="240" w:lineRule="auto"/>
        <w:ind w:firstLine="480"/>
        <w:rPr>
          <w:rFonts w:ascii="Arial" w:eastAsia="Times New Roman" w:hAnsi="Arial" w:cs="Arial"/>
          <w:sz w:val="20"/>
          <w:szCs w:val="20"/>
        </w:rPr>
      </w:pPr>
      <w:proofErr w:type="gramStart"/>
      <w:r w:rsidRPr="007E5CFA">
        <w:rPr>
          <w:rFonts w:ascii="Arial" w:eastAsia="Times New Roman" w:hAnsi="Arial" w:cs="Arial"/>
          <w:sz w:val="20"/>
          <w:szCs w:val="20"/>
          <w:vertAlign w:val="superscript"/>
        </w:rPr>
        <w:t>a</w:t>
      </w:r>
      <w:r w:rsidRPr="007E5CFA">
        <w:rPr>
          <w:rFonts w:ascii="Arial" w:eastAsia="Times New Roman" w:hAnsi="Arial" w:cs="Arial"/>
          <w:sz w:val="20"/>
          <w:szCs w:val="20"/>
        </w:rPr>
        <w:t>When</w:t>
      </w:r>
      <w:proofErr w:type="gramEnd"/>
      <w:r w:rsidRPr="007E5CFA">
        <w:rPr>
          <w:rFonts w:ascii="Arial" w:eastAsia="Times New Roman" w:hAnsi="Arial" w:cs="Arial"/>
          <w:sz w:val="20"/>
          <w:szCs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7E5CFA" w:rsidRPr="007E5CFA" w:rsidRDefault="007E5CFA" w:rsidP="007E5CFA">
      <w:pPr>
        <w:spacing w:before="200" w:after="100" w:afterAutospacing="1" w:line="240" w:lineRule="auto"/>
        <w:rPr>
          <w:rFonts w:ascii="Arial" w:eastAsia="Times New Roman" w:hAnsi="Arial" w:cs="Arial"/>
          <w:sz w:val="20"/>
          <w:szCs w:val="20"/>
        </w:rPr>
      </w:pPr>
      <w:r w:rsidRPr="007E5CFA">
        <w:rPr>
          <w:rFonts w:ascii="Arial" w:eastAsia="Times New Roman" w:hAnsi="Arial" w:cs="Arial"/>
          <w:sz w:val="20"/>
          <w:szCs w:val="20"/>
        </w:rPr>
        <w:t>[73 FR 78211, Dec. 22, 2008]</w:t>
      </w:r>
    </w:p>
    <w:p w:rsidR="00132584" w:rsidRPr="007E5CFA" w:rsidRDefault="007E5CFA" w:rsidP="007E5CFA">
      <w:pPr>
        <w:rPr>
          <w:sz w:val="20"/>
          <w:szCs w:val="20"/>
        </w:rPr>
      </w:pPr>
      <w:hyperlink r:id="rId55" w:anchor="_top" w:history="1">
        <w:r w:rsidRPr="007E5CFA">
          <w:rPr>
            <w:rFonts w:ascii="Arial" w:eastAsia="Times New Roman" w:hAnsi="Arial" w:cs="Arial"/>
            <w:noProof/>
            <w:color w:val="0000FF"/>
            <w:sz w:val="20"/>
            <w:szCs w:val="20"/>
          </w:rPr>
          <w:drawing>
            <wp:inline distT="0" distB="0" distL="0" distR="0">
              <wp:extent cx="151765" cy="151765"/>
              <wp:effectExtent l="0" t="0" r="635" b="635"/>
              <wp:docPr id="1" name="Picture 1" descr="return arrow">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7E5CFA">
          <w:rPr>
            <w:rFonts w:ascii="Arial" w:eastAsia="Times New Roman" w:hAnsi="Arial" w:cs="Arial"/>
            <w:color w:val="0000FF"/>
            <w:sz w:val="20"/>
            <w:szCs w:val="20"/>
          </w:rPr>
          <w:t>Back to Top</w:t>
        </w:r>
      </w:hyperlink>
    </w:p>
    <w:sectPr w:rsidR="00132584" w:rsidRPr="007E5CFA">
      <w:footerReference w:type="default" r:id="rId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CFA" w:rsidRDefault="007E5CFA" w:rsidP="007E5CFA">
      <w:pPr>
        <w:spacing w:after="0" w:line="240" w:lineRule="auto"/>
      </w:pPr>
      <w:r>
        <w:separator/>
      </w:r>
    </w:p>
  </w:endnote>
  <w:endnote w:type="continuationSeparator" w:id="0">
    <w:p w:rsidR="007E5CFA" w:rsidRDefault="007E5CFA" w:rsidP="007E5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5528701"/>
      <w:docPartObj>
        <w:docPartGallery w:val="Page Numbers (Bottom of Page)"/>
        <w:docPartUnique/>
      </w:docPartObj>
    </w:sdtPr>
    <w:sdtEndPr>
      <w:rPr>
        <w:noProof/>
      </w:rPr>
    </w:sdtEndPr>
    <w:sdtContent>
      <w:p w:rsidR="007E5CFA" w:rsidRDefault="007E5CF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7E5CFA" w:rsidRDefault="007E5C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CFA" w:rsidRDefault="007E5CFA" w:rsidP="007E5CFA">
      <w:pPr>
        <w:spacing w:after="0" w:line="240" w:lineRule="auto"/>
      </w:pPr>
      <w:r>
        <w:separator/>
      </w:r>
    </w:p>
  </w:footnote>
  <w:footnote w:type="continuationSeparator" w:id="0">
    <w:p w:rsidR="007E5CFA" w:rsidRDefault="007E5CFA" w:rsidP="007E5CF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DD4"/>
    <w:rsid w:val="00132584"/>
    <w:rsid w:val="00726DD4"/>
    <w:rsid w:val="007E5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808A4F-8202-44CA-B652-6C5A740C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E5CFA"/>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7E5CFA"/>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7E5CFA"/>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7E5CFA"/>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7E5CFA"/>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5CFA"/>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7E5CFA"/>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7E5CFA"/>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7E5CFA"/>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7E5CFA"/>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7E5CFA"/>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7E5CFA"/>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7E5CF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7E5CF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7E5CF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7E5CFA"/>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7E5C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7E5CFA"/>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7E5CFA"/>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7E5CFA"/>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7E5CF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7E5CFA"/>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7E5CF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7E5CFA"/>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7E5CFA"/>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7E5CFA"/>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7E5CFA"/>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7E5CFA"/>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7E5CFA"/>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7E5CFA"/>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7E5CFA"/>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7E5CFA"/>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7E5CFA"/>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7E5CFA"/>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7E5CFA"/>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7E5CFA"/>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7E5CF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7E5CFA"/>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7E5CFA"/>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7E5CFA"/>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7E5CFA"/>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7E5CFA"/>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7E5CFA"/>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7E5CFA"/>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7E5CFA"/>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7E5CFA"/>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7E5CFA"/>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7E5CFA"/>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7E5CFA"/>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7E5CFA"/>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7E5CFA"/>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7E5CFA"/>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7E5CFA"/>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7E5CFA"/>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7E5CFA"/>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7E5CFA"/>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7E5C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7E5CF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7E5CF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7E5CF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7E5CF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7E5CF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7E5CF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7E5CFA"/>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7E5CFA"/>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7E5CFA"/>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7E5CFA"/>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7E5CFA"/>
    <w:pPr>
      <w:spacing w:before="200" w:after="100" w:afterAutospacing="1" w:line="240" w:lineRule="auto"/>
    </w:pPr>
    <w:rPr>
      <w:rFonts w:ascii="Times New Roman" w:eastAsia="Times New Roman" w:hAnsi="Times New Roman" w:cs="Times New Roman"/>
      <w:sz w:val="18"/>
      <w:szCs w:val="18"/>
    </w:rPr>
  </w:style>
  <w:style w:type="paragraph" w:customStyle="1" w:styleId="title">
    <w:name w:val="title"/>
    <w:basedOn w:val="Normal"/>
    <w:rsid w:val="007E5CFA"/>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7E5CFA"/>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7E5CFA"/>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7E5CFA"/>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7E5CFA"/>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7E5CFA"/>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7E5CFA"/>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7E5CFA"/>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7E5CFA"/>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7E5CFA"/>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7E5CFA"/>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7E5CF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7E5CFA"/>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7E5CF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7E5CFA"/>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7E5CFA"/>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7E5CFA"/>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7E5CFA"/>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7E5CFA"/>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7E5CFA"/>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7E5CFA"/>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7E5CFA"/>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7E5CFA"/>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7E5CFA"/>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7E5CFA"/>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7E5CFA"/>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7E5CFA"/>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7E5CFA"/>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7E5CFA"/>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7E5CFA"/>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7E5CFA"/>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7E5CFA"/>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7E5CFA"/>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7E5CF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7E5CFA"/>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7E5CFA"/>
    <w:rPr>
      <w:shd w:val="clear" w:color="auto" w:fill="FFFFFF"/>
    </w:rPr>
  </w:style>
  <w:style w:type="character" w:customStyle="1" w:styleId="pdash">
    <w:name w:val="pdash"/>
    <w:basedOn w:val="DefaultParagraphFont"/>
    <w:rsid w:val="007E5CFA"/>
    <w:rPr>
      <w:shd w:val="clear" w:color="auto" w:fill="FFFFFF"/>
    </w:rPr>
  </w:style>
  <w:style w:type="character" w:customStyle="1" w:styleId="su1">
    <w:name w:val="su1"/>
    <w:basedOn w:val="DefaultParagraphFont"/>
    <w:rsid w:val="007E5CFA"/>
    <w:rPr>
      <w:smallCaps w:val="0"/>
      <w:sz w:val="17"/>
      <w:szCs w:val="17"/>
      <w:vertAlign w:val="superscript"/>
    </w:rPr>
  </w:style>
  <w:style w:type="paragraph" w:customStyle="1" w:styleId="gpotblnote">
    <w:name w:val="gpotbl_note"/>
    <w:basedOn w:val="Normal"/>
    <w:rsid w:val="007E5CFA"/>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7E5CFA"/>
    <w:rPr>
      <w:i/>
      <w:iCs/>
    </w:rPr>
  </w:style>
  <w:style w:type="paragraph" w:styleId="Header">
    <w:name w:val="header"/>
    <w:basedOn w:val="Normal"/>
    <w:link w:val="HeaderChar"/>
    <w:uiPriority w:val="99"/>
    <w:unhideWhenUsed/>
    <w:rsid w:val="007E5C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5CFA"/>
  </w:style>
  <w:style w:type="paragraph" w:styleId="Footer">
    <w:name w:val="footer"/>
    <w:basedOn w:val="Normal"/>
    <w:link w:val="FooterChar"/>
    <w:uiPriority w:val="99"/>
    <w:unhideWhenUsed/>
    <w:rsid w:val="007E5C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5CFA"/>
  </w:style>
  <w:style w:type="paragraph" w:styleId="BalloonText">
    <w:name w:val="Balloon Text"/>
    <w:basedOn w:val="Normal"/>
    <w:link w:val="BalloonTextChar"/>
    <w:uiPriority w:val="99"/>
    <w:semiHidden/>
    <w:unhideWhenUsed/>
    <w:rsid w:val="007E5C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5C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6011607">
      <w:bodyDiv w:val="1"/>
      <w:marLeft w:val="0"/>
      <w:marRight w:val="0"/>
      <w:marTop w:val="30"/>
      <w:marBottom w:val="750"/>
      <w:divBdr>
        <w:top w:val="none" w:sz="0" w:space="0" w:color="auto"/>
        <w:left w:val="none" w:sz="0" w:space="0" w:color="auto"/>
        <w:bottom w:val="none" w:sz="0" w:space="0" w:color="auto"/>
        <w:right w:val="none" w:sz="0" w:space="0" w:color="auto"/>
      </w:divBdr>
      <w:divsChild>
        <w:div w:id="489521114">
          <w:marLeft w:val="0"/>
          <w:marRight w:val="0"/>
          <w:marTop w:val="0"/>
          <w:marBottom w:val="0"/>
          <w:divBdr>
            <w:top w:val="none" w:sz="0" w:space="0" w:color="auto"/>
            <w:left w:val="none" w:sz="0" w:space="0" w:color="auto"/>
            <w:bottom w:val="none" w:sz="0" w:space="0" w:color="auto"/>
            <w:right w:val="none" w:sz="0" w:space="0" w:color="auto"/>
          </w:divBdr>
          <w:divsChild>
            <w:div w:id="831022869">
              <w:marLeft w:val="0"/>
              <w:marRight w:val="0"/>
              <w:marTop w:val="0"/>
              <w:marBottom w:val="0"/>
              <w:divBdr>
                <w:top w:val="none" w:sz="0" w:space="0" w:color="auto"/>
                <w:left w:val="none" w:sz="0" w:space="0" w:color="auto"/>
                <w:bottom w:val="none" w:sz="0" w:space="0" w:color="auto"/>
                <w:right w:val="none" w:sz="0" w:space="0" w:color="auto"/>
              </w:divBdr>
            </w:div>
            <w:div w:id="1072896095">
              <w:marLeft w:val="0"/>
              <w:marRight w:val="0"/>
              <w:marTop w:val="0"/>
              <w:marBottom w:val="0"/>
              <w:divBdr>
                <w:top w:val="none" w:sz="0" w:space="0" w:color="auto"/>
                <w:left w:val="none" w:sz="0" w:space="0" w:color="auto"/>
                <w:bottom w:val="none" w:sz="0" w:space="0" w:color="auto"/>
                <w:right w:val="none" w:sz="0" w:space="0" w:color="auto"/>
              </w:divBdr>
            </w:div>
            <w:div w:id="2013802249">
              <w:marLeft w:val="0"/>
              <w:marRight w:val="0"/>
              <w:marTop w:val="0"/>
              <w:marBottom w:val="0"/>
              <w:divBdr>
                <w:top w:val="none" w:sz="0" w:space="0" w:color="auto"/>
                <w:left w:val="none" w:sz="0" w:space="0" w:color="auto"/>
                <w:bottom w:val="none" w:sz="0" w:space="0" w:color="auto"/>
                <w:right w:val="none" w:sz="0" w:space="0" w:color="auto"/>
              </w:divBdr>
            </w:div>
            <w:div w:id="2010134259">
              <w:marLeft w:val="0"/>
              <w:marRight w:val="0"/>
              <w:marTop w:val="0"/>
              <w:marBottom w:val="0"/>
              <w:divBdr>
                <w:top w:val="none" w:sz="0" w:space="0" w:color="auto"/>
                <w:left w:val="none" w:sz="0" w:space="0" w:color="auto"/>
                <w:bottom w:val="none" w:sz="0" w:space="0" w:color="auto"/>
                <w:right w:val="none" w:sz="0" w:space="0" w:color="auto"/>
              </w:divBdr>
            </w:div>
            <w:div w:id="537745850">
              <w:marLeft w:val="0"/>
              <w:marRight w:val="0"/>
              <w:marTop w:val="0"/>
              <w:marBottom w:val="0"/>
              <w:divBdr>
                <w:top w:val="none" w:sz="0" w:space="0" w:color="auto"/>
                <w:left w:val="none" w:sz="0" w:space="0" w:color="auto"/>
                <w:bottom w:val="none" w:sz="0" w:space="0" w:color="auto"/>
                <w:right w:val="none" w:sz="0" w:space="0" w:color="auto"/>
              </w:divBdr>
            </w:div>
            <w:div w:id="1171987315">
              <w:marLeft w:val="0"/>
              <w:marRight w:val="0"/>
              <w:marTop w:val="0"/>
              <w:marBottom w:val="0"/>
              <w:divBdr>
                <w:top w:val="none" w:sz="0" w:space="0" w:color="auto"/>
                <w:left w:val="none" w:sz="0" w:space="0" w:color="auto"/>
                <w:bottom w:val="none" w:sz="0" w:space="0" w:color="auto"/>
                <w:right w:val="none" w:sz="0" w:space="0" w:color="auto"/>
              </w:divBdr>
            </w:div>
            <w:div w:id="640160149">
              <w:marLeft w:val="0"/>
              <w:marRight w:val="0"/>
              <w:marTop w:val="0"/>
              <w:marBottom w:val="0"/>
              <w:divBdr>
                <w:top w:val="none" w:sz="0" w:space="0" w:color="auto"/>
                <w:left w:val="none" w:sz="0" w:space="0" w:color="auto"/>
                <w:bottom w:val="none" w:sz="0" w:space="0" w:color="auto"/>
                <w:right w:val="none" w:sz="0" w:space="0" w:color="auto"/>
              </w:divBdr>
            </w:div>
            <w:div w:id="2130926898">
              <w:marLeft w:val="0"/>
              <w:marRight w:val="0"/>
              <w:marTop w:val="0"/>
              <w:marBottom w:val="0"/>
              <w:divBdr>
                <w:top w:val="none" w:sz="0" w:space="0" w:color="auto"/>
                <w:left w:val="none" w:sz="0" w:space="0" w:color="auto"/>
                <w:bottom w:val="none" w:sz="0" w:space="0" w:color="auto"/>
                <w:right w:val="none" w:sz="0" w:space="0" w:color="auto"/>
              </w:divBdr>
            </w:div>
            <w:div w:id="1575580022">
              <w:marLeft w:val="0"/>
              <w:marRight w:val="0"/>
              <w:marTop w:val="0"/>
              <w:marBottom w:val="0"/>
              <w:divBdr>
                <w:top w:val="none" w:sz="0" w:space="0" w:color="auto"/>
                <w:left w:val="none" w:sz="0" w:space="0" w:color="auto"/>
                <w:bottom w:val="none" w:sz="0" w:space="0" w:color="auto"/>
                <w:right w:val="none" w:sz="0" w:space="0" w:color="auto"/>
              </w:divBdr>
            </w:div>
            <w:div w:id="1519729816">
              <w:marLeft w:val="0"/>
              <w:marRight w:val="0"/>
              <w:marTop w:val="0"/>
              <w:marBottom w:val="0"/>
              <w:divBdr>
                <w:top w:val="none" w:sz="0" w:space="0" w:color="auto"/>
                <w:left w:val="none" w:sz="0" w:space="0" w:color="auto"/>
                <w:bottom w:val="none" w:sz="0" w:space="0" w:color="auto"/>
                <w:right w:val="none" w:sz="0" w:space="0" w:color="auto"/>
              </w:divBdr>
            </w:div>
            <w:div w:id="1627078000">
              <w:marLeft w:val="0"/>
              <w:marRight w:val="0"/>
              <w:marTop w:val="0"/>
              <w:marBottom w:val="0"/>
              <w:divBdr>
                <w:top w:val="none" w:sz="0" w:space="0" w:color="auto"/>
                <w:left w:val="none" w:sz="0" w:space="0" w:color="auto"/>
                <w:bottom w:val="none" w:sz="0" w:space="0" w:color="auto"/>
                <w:right w:val="none" w:sz="0" w:space="0" w:color="auto"/>
              </w:divBdr>
              <w:divsChild>
                <w:div w:id="91659712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20481430">
              <w:marLeft w:val="0"/>
              <w:marRight w:val="0"/>
              <w:marTop w:val="0"/>
              <w:marBottom w:val="0"/>
              <w:divBdr>
                <w:top w:val="none" w:sz="0" w:space="0" w:color="auto"/>
                <w:left w:val="none" w:sz="0" w:space="0" w:color="auto"/>
                <w:bottom w:val="none" w:sz="0" w:space="0" w:color="auto"/>
                <w:right w:val="none" w:sz="0" w:space="0" w:color="auto"/>
              </w:divBdr>
              <w:divsChild>
                <w:div w:id="30033435">
                  <w:marLeft w:val="0"/>
                  <w:marRight w:val="0"/>
                  <w:marTop w:val="0"/>
                  <w:marBottom w:val="0"/>
                  <w:divBdr>
                    <w:top w:val="none" w:sz="0" w:space="0" w:color="auto"/>
                    <w:left w:val="none" w:sz="0" w:space="0" w:color="auto"/>
                    <w:bottom w:val="none" w:sz="0" w:space="0" w:color="auto"/>
                    <w:right w:val="none" w:sz="0" w:space="0" w:color="auto"/>
                  </w:divBdr>
                </w:div>
                <w:div w:id="1084574224">
                  <w:marLeft w:val="0"/>
                  <w:marRight w:val="0"/>
                  <w:marTop w:val="0"/>
                  <w:marBottom w:val="0"/>
                  <w:divBdr>
                    <w:top w:val="single" w:sz="12" w:space="0" w:color="000000"/>
                    <w:left w:val="single" w:sz="12" w:space="0" w:color="000000"/>
                    <w:bottom w:val="single" w:sz="12" w:space="0" w:color="000000"/>
                    <w:right w:val="single" w:sz="12" w:space="0" w:color="000000"/>
                  </w:divBdr>
                </w:div>
                <w:div w:id="1619995378">
                  <w:marLeft w:val="0"/>
                  <w:marRight w:val="0"/>
                  <w:marTop w:val="0"/>
                  <w:marBottom w:val="0"/>
                  <w:divBdr>
                    <w:top w:val="none" w:sz="0" w:space="0" w:color="auto"/>
                    <w:left w:val="none" w:sz="0" w:space="0" w:color="auto"/>
                    <w:bottom w:val="none" w:sz="0" w:space="0" w:color="auto"/>
                    <w:right w:val="none" w:sz="0" w:space="0" w:color="auto"/>
                  </w:divBdr>
                </w:div>
              </w:divsChild>
            </w:div>
            <w:div w:id="1594631740">
              <w:marLeft w:val="0"/>
              <w:marRight w:val="0"/>
              <w:marTop w:val="0"/>
              <w:marBottom w:val="0"/>
              <w:divBdr>
                <w:top w:val="none" w:sz="0" w:space="0" w:color="auto"/>
                <w:left w:val="none" w:sz="0" w:space="0" w:color="auto"/>
                <w:bottom w:val="none" w:sz="0" w:space="0" w:color="auto"/>
                <w:right w:val="none" w:sz="0" w:space="0" w:color="auto"/>
              </w:divBdr>
              <w:divsChild>
                <w:div w:id="1387144807">
                  <w:marLeft w:val="0"/>
                  <w:marRight w:val="0"/>
                  <w:marTop w:val="0"/>
                  <w:marBottom w:val="0"/>
                  <w:divBdr>
                    <w:top w:val="none" w:sz="0" w:space="0" w:color="auto"/>
                    <w:left w:val="none" w:sz="0" w:space="0" w:color="auto"/>
                    <w:bottom w:val="none" w:sz="0" w:space="0" w:color="auto"/>
                    <w:right w:val="none" w:sz="0" w:space="0" w:color="auto"/>
                  </w:divBdr>
                </w:div>
                <w:div w:id="255678600">
                  <w:marLeft w:val="0"/>
                  <w:marRight w:val="0"/>
                  <w:marTop w:val="0"/>
                  <w:marBottom w:val="0"/>
                  <w:divBdr>
                    <w:top w:val="single" w:sz="12" w:space="0" w:color="000000"/>
                    <w:left w:val="single" w:sz="12" w:space="0" w:color="000000"/>
                    <w:bottom w:val="single" w:sz="12" w:space="0" w:color="000000"/>
                    <w:right w:val="single" w:sz="12" w:space="0" w:color="000000"/>
                  </w:divBdr>
                </w:div>
                <w:div w:id="2049840025">
                  <w:marLeft w:val="0"/>
                  <w:marRight w:val="0"/>
                  <w:marTop w:val="0"/>
                  <w:marBottom w:val="0"/>
                  <w:divBdr>
                    <w:top w:val="none" w:sz="0" w:space="0" w:color="auto"/>
                    <w:left w:val="none" w:sz="0" w:space="0" w:color="auto"/>
                    <w:bottom w:val="none" w:sz="0" w:space="0" w:color="auto"/>
                    <w:right w:val="none" w:sz="0" w:space="0" w:color="auto"/>
                  </w:divBdr>
                </w:div>
              </w:divsChild>
            </w:div>
            <w:div w:id="2028366278">
              <w:marLeft w:val="0"/>
              <w:marRight w:val="0"/>
              <w:marTop w:val="0"/>
              <w:marBottom w:val="0"/>
              <w:divBdr>
                <w:top w:val="none" w:sz="0" w:space="0" w:color="auto"/>
                <w:left w:val="none" w:sz="0" w:space="0" w:color="auto"/>
                <w:bottom w:val="none" w:sz="0" w:space="0" w:color="auto"/>
                <w:right w:val="none" w:sz="0" w:space="0" w:color="auto"/>
              </w:divBdr>
              <w:divsChild>
                <w:div w:id="1402025412">
                  <w:marLeft w:val="0"/>
                  <w:marRight w:val="0"/>
                  <w:marTop w:val="0"/>
                  <w:marBottom w:val="0"/>
                  <w:divBdr>
                    <w:top w:val="none" w:sz="0" w:space="0" w:color="auto"/>
                    <w:left w:val="none" w:sz="0" w:space="0" w:color="auto"/>
                    <w:bottom w:val="none" w:sz="0" w:space="0" w:color="auto"/>
                    <w:right w:val="none" w:sz="0" w:space="0" w:color="auto"/>
                  </w:divBdr>
                </w:div>
                <w:div w:id="2754534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82341762">
              <w:marLeft w:val="0"/>
              <w:marRight w:val="0"/>
              <w:marTop w:val="0"/>
              <w:marBottom w:val="0"/>
              <w:divBdr>
                <w:top w:val="none" w:sz="0" w:space="0" w:color="auto"/>
                <w:left w:val="none" w:sz="0" w:space="0" w:color="auto"/>
                <w:bottom w:val="none" w:sz="0" w:space="0" w:color="auto"/>
                <w:right w:val="none" w:sz="0" w:space="0" w:color="auto"/>
              </w:divBdr>
              <w:divsChild>
                <w:div w:id="2025595210">
                  <w:marLeft w:val="0"/>
                  <w:marRight w:val="0"/>
                  <w:marTop w:val="0"/>
                  <w:marBottom w:val="0"/>
                  <w:divBdr>
                    <w:top w:val="none" w:sz="0" w:space="0" w:color="auto"/>
                    <w:left w:val="none" w:sz="0" w:space="0" w:color="auto"/>
                    <w:bottom w:val="none" w:sz="0" w:space="0" w:color="auto"/>
                    <w:right w:val="none" w:sz="0" w:space="0" w:color="auto"/>
                  </w:divBdr>
                </w:div>
                <w:div w:id="37639051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1594323">
              <w:marLeft w:val="0"/>
              <w:marRight w:val="0"/>
              <w:marTop w:val="0"/>
              <w:marBottom w:val="0"/>
              <w:divBdr>
                <w:top w:val="none" w:sz="0" w:space="0" w:color="auto"/>
                <w:left w:val="none" w:sz="0" w:space="0" w:color="auto"/>
                <w:bottom w:val="none" w:sz="0" w:space="0" w:color="auto"/>
                <w:right w:val="none" w:sz="0" w:space="0" w:color="auto"/>
              </w:divBdr>
              <w:divsChild>
                <w:div w:id="1871646255">
                  <w:marLeft w:val="0"/>
                  <w:marRight w:val="0"/>
                  <w:marTop w:val="0"/>
                  <w:marBottom w:val="0"/>
                  <w:divBdr>
                    <w:top w:val="none" w:sz="0" w:space="0" w:color="auto"/>
                    <w:left w:val="none" w:sz="0" w:space="0" w:color="auto"/>
                    <w:bottom w:val="none" w:sz="0" w:space="0" w:color="auto"/>
                    <w:right w:val="none" w:sz="0" w:space="0" w:color="auto"/>
                  </w:divBdr>
                </w:div>
                <w:div w:id="7105427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39008140">
              <w:marLeft w:val="0"/>
              <w:marRight w:val="0"/>
              <w:marTop w:val="0"/>
              <w:marBottom w:val="0"/>
              <w:divBdr>
                <w:top w:val="none" w:sz="0" w:space="0" w:color="auto"/>
                <w:left w:val="none" w:sz="0" w:space="0" w:color="auto"/>
                <w:bottom w:val="none" w:sz="0" w:space="0" w:color="auto"/>
                <w:right w:val="none" w:sz="0" w:space="0" w:color="auto"/>
              </w:divBdr>
              <w:divsChild>
                <w:div w:id="1739478461">
                  <w:marLeft w:val="0"/>
                  <w:marRight w:val="0"/>
                  <w:marTop w:val="0"/>
                  <w:marBottom w:val="0"/>
                  <w:divBdr>
                    <w:top w:val="none" w:sz="0" w:space="0" w:color="auto"/>
                    <w:left w:val="none" w:sz="0" w:space="0" w:color="auto"/>
                    <w:bottom w:val="none" w:sz="0" w:space="0" w:color="auto"/>
                    <w:right w:val="none" w:sz="0" w:space="0" w:color="auto"/>
                  </w:divBdr>
                </w:div>
                <w:div w:id="12058624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70495540">
              <w:marLeft w:val="0"/>
              <w:marRight w:val="0"/>
              <w:marTop w:val="0"/>
              <w:marBottom w:val="0"/>
              <w:divBdr>
                <w:top w:val="none" w:sz="0" w:space="0" w:color="auto"/>
                <w:left w:val="none" w:sz="0" w:space="0" w:color="auto"/>
                <w:bottom w:val="none" w:sz="0" w:space="0" w:color="auto"/>
                <w:right w:val="none" w:sz="0" w:space="0" w:color="auto"/>
              </w:divBdr>
              <w:divsChild>
                <w:div w:id="1747216827">
                  <w:marLeft w:val="0"/>
                  <w:marRight w:val="0"/>
                  <w:marTop w:val="0"/>
                  <w:marBottom w:val="0"/>
                  <w:divBdr>
                    <w:top w:val="none" w:sz="0" w:space="0" w:color="auto"/>
                    <w:left w:val="none" w:sz="0" w:space="0" w:color="auto"/>
                    <w:bottom w:val="none" w:sz="0" w:space="0" w:color="auto"/>
                    <w:right w:val="none" w:sz="0" w:space="0" w:color="auto"/>
                  </w:divBdr>
                </w:div>
                <w:div w:id="134324602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94454854">
              <w:marLeft w:val="0"/>
              <w:marRight w:val="0"/>
              <w:marTop w:val="0"/>
              <w:marBottom w:val="0"/>
              <w:divBdr>
                <w:top w:val="none" w:sz="0" w:space="0" w:color="auto"/>
                <w:left w:val="none" w:sz="0" w:space="0" w:color="auto"/>
                <w:bottom w:val="none" w:sz="0" w:space="0" w:color="auto"/>
                <w:right w:val="none" w:sz="0" w:space="0" w:color="auto"/>
              </w:divBdr>
              <w:divsChild>
                <w:div w:id="1898735473">
                  <w:marLeft w:val="0"/>
                  <w:marRight w:val="0"/>
                  <w:marTop w:val="0"/>
                  <w:marBottom w:val="0"/>
                  <w:divBdr>
                    <w:top w:val="none" w:sz="0" w:space="0" w:color="auto"/>
                    <w:left w:val="none" w:sz="0" w:space="0" w:color="auto"/>
                    <w:bottom w:val="none" w:sz="0" w:space="0" w:color="auto"/>
                    <w:right w:val="none" w:sz="0" w:space="0" w:color="auto"/>
                  </w:divBdr>
                </w:div>
                <w:div w:id="16564474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8988895">
              <w:marLeft w:val="0"/>
              <w:marRight w:val="0"/>
              <w:marTop w:val="0"/>
              <w:marBottom w:val="0"/>
              <w:divBdr>
                <w:top w:val="none" w:sz="0" w:space="0" w:color="auto"/>
                <w:left w:val="none" w:sz="0" w:space="0" w:color="auto"/>
                <w:bottom w:val="none" w:sz="0" w:space="0" w:color="auto"/>
                <w:right w:val="none" w:sz="0" w:space="0" w:color="auto"/>
              </w:divBdr>
              <w:divsChild>
                <w:div w:id="655033767">
                  <w:marLeft w:val="0"/>
                  <w:marRight w:val="0"/>
                  <w:marTop w:val="0"/>
                  <w:marBottom w:val="0"/>
                  <w:divBdr>
                    <w:top w:val="none" w:sz="0" w:space="0" w:color="auto"/>
                    <w:left w:val="none" w:sz="0" w:space="0" w:color="auto"/>
                    <w:bottom w:val="none" w:sz="0" w:space="0" w:color="auto"/>
                    <w:right w:val="none" w:sz="0" w:space="0" w:color="auto"/>
                  </w:divBdr>
                </w:div>
                <w:div w:id="9950350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31181846">
              <w:marLeft w:val="0"/>
              <w:marRight w:val="0"/>
              <w:marTop w:val="0"/>
              <w:marBottom w:val="0"/>
              <w:divBdr>
                <w:top w:val="none" w:sz="0" w:space="0" w:color="auto"/>
                <w:left w:val="none" w:sz="0" w:space="0" w:color="auto"/>
                <w:bottom w:val="none" w:sz="0" w:space="0" w:color="auto"/>
                <w:right w:val="none" w:sz="0" w:space="0" w:color="auto"/>
              </w:divBdr>
              <w:divsChild>
                <w:div w:id="210456882">
                  <w:marLeft w:val="0"/>
                  <w:marRight w:val="0"/>
                  <w:marTop w:val="0"/>
                  <w:marBottom w:val="0"/>
                  <w:divBdr>
                    <w:top w:val="none" w:sz="0" w:space="0" w:color="auto"/>
                    <w:left w:val="none" w:sz="0" w:space="0" w:color="auto"/>
                    <w:bottom w:val="none" w:sz="0" w:space="0" w:color="auto"/>
                    <w:right w:val="none" w:sz="0" w:space="0" w:color="auto"/>
                  </w:divBdr>
                </w:div>
                <w:div w:id="120711059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40165757">
              <w:marLeft w:val="0"/>
              <w:marRight w:val="0"/>
              <w:marTop w:val="0"/>
              <w:marBottom w:val="0"/>
              <w:divBdr>
                <w:top w:val="none" w:sz="0" w:space="0" w:color="auto"/>
                <w:left w:val="none" w:sz="0" w:space="0" w:color="auto"/>
                <w:bottom w:val="none" w:sz="0" w:space="0" w:color="auto"/>
                <w:right w:val="none" w:sz="0" w:space="0" w:color="auto"/>
              </w:divBdr>
              <w:divsChild>
                <w:div w:id="1665861618">
                  <w:marLeft w:val="0"/>
                  <w:marRight w:val="0"/>
                  <w:marTop w:val="0"/>
                  <w:marBottom w:val="0"/>
                  <w:divBdr>
                    <w:top w:val="none" w:sz="0" w:space="0" w:color="auto"/>
                    <w:left w:val="none" w:sz="0" w:space="0" w:color="auto"/>
                    <w:bottom w:val="none" w:sz="0" w:space="0" w:color="auto"/>
                    <w:right w:val="none" w:sz="0" w:space="0" w:color="auto"/>
                  </w:divBdr>
                </w:div>
                <w:div w:id="158931506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16361943">
              <w:marLeft w:val="0"/>
              <w:marRight w:val="0"/>
              <w:marTop w:val="0"/>
              <w:marBottom w:val="0"/>
              <w:divBdr>
                <w:top w:val="none" w:sz="0" w:space="0" w:color="auto"/>
                <w:left w:val="none" w:sz="0" w:space="0" w:color="auto"/>
                <w:bottom w:val="none" w:sz="0" w:space="0" w:color="auto"/>
                <w:right w:val="none" w:sz="0" w:space="0" w:color="auto"/>
              </w:divBdr>
              <w:divsChild>
                <w:div w:id="1112670578">
                  <w:marLeft w:val="0"/>
                  <w:marRight w:val="0"/>
                  <w:marTop w:val="0"/>
                  <w:marBottom w:val="0"/>
                  <w:divBdr>
                    <w:top w:val="none" w:sz="0" w:space="0" w:color="auto"/>
                    <w:left w:val="none" w:sz="0" w:space="0" w:color="auto"/>
                    <w:bottom w:val="none" w:sz="0" w:space="0" w:color="auto"/>
                    <w:right w:val="none" w:sz="0" w:space="0" w:color="auto"/>
                  </w:divBdr>
                </w:div>
                <w:div w:id="14011013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3643993">
              <w:marLeft w:val="0"/>
              <w:marRight w:val="0"/>
              <w:marTop w:val="0"/>
              <w:marBottom w:val="0"/>
              <w:divBdr>
                <w:top w:val="none" w:sz="0" w:space="0" w:color="auto"/>
                <w:left w:val="none" w:sz="0" w:space="0" w:color="auto"/>
                <w:bottom w:val="none" w:sz="0" w:space="0" w:color="auto"/>
                <w:right w:val="none" w:sz="0" w:space="0" w:color="auto"/>
              </w:divBdr>
              <w:divsChild>
                <w:div w:id="936597596">
                  <w:marLeft w:val="0"/>
                  <w:marRight w:val="0"/>
                  <w:marTop w:val="0"/>
                  <w:marBottom w:val="0"/>
                  <w:divBdr>
                    <w:top w:val="none" w:sz="0" w:space="0" w:color="auto"/>
                    <w:left w:val="none" w:sz="0" w:space="0" w:color="auto"/>
                    <w:bottom w:val="none" w:sz="0" w:space="0" w:color="auto"/>
                    <w:right w:val="none" w:sz="0" w:space="0" w:color="auto"/>
                  </w:divBdr>
                </w:div>
                <w:div w:id="13338695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61091016">
              <w:marLeft w:val="0"/>
              <w:marRight w:val="0"/>
              <w:marTop w:val="0"/>
              <w:marBottom w:val="0"/>
              <w:divBdr>
                <w:top w:val="none" w:sz="0" w:space="0" w:color="auto"/>
                <w:left w:val="none" w:sz="0" w:space="0" w:color="auto"/>
                <w:bottom w:val="none" w:sz="0" w:space="0" w:color="auto"/>
                <w:right w:val="none" w:sz="0" w:space="0" w:color="auto"/>
              </w:divBdr>
              <w:divsChild>
                <w:div w:id="1188519693">
                  <w:marLeft w:val="0"/>
                  <w:marRight w:val="0"/>
                  <w:marTop w:val="0"/>
                  <w:marBottom w:val="0"/>
                  <w:divBdr>
                    <w:top w:val="none" w:sz="0" w:space="0" w:color="auto"/>
                    <w:left w:val="none" w:sz="0" w:space="0" w:color="auto"/>
                    <w:bottom w:val="none" w:sz="0" w:space="0" w:color="auto"/>
                    <w:right w:val="none" w:sz="0" w:space="0" w:color="auto"/>
                  </w:divBdr>
                </w:div>
                <w:div w:id="4387663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36532901">
              <w:marLeft w:val="0"/>
              <w:marRight w:val="0"/>
              <w:marTop w:val="0"/>
              <w:marBottom w:val="0"/>
              <w:divBdr>
                <w:top w:val="none" w:sz="0" w:space="0" w:color="auto"/>
                <w:left w:val="none" w:sz="0" w:space="0" w:color="auto"/>
                <w:bottom w:val="none" w:sz="0" w:space="0" w:color="auto"/>
                <w:right w:val="none" w:sz="0" w:space="0" w:color="auto"/>
              </w:divBdr>
              <w:divsChild>
                <w:div w:id="973873945">
                  <w:marLeft w:val="0"/>
                  <w:marRight w:val="0"/>
                  <w:marTop w:val="0"/>
                  <w:marBottom w:val="0"/>
                  <w:divBdr>
                    <w:top w:val="none" w:sz="0" w:space="0" w:color="auto"/>
                    <w:left w:val="none" w:sz="0" w:space="0" w:color="auto"/>
                    <w:bottom w:val="none" w:sz="0" w:space="0" w:color="auto"/>
                    <w:right w:val="none" w:sz="0" w:space="0" w:color="auto"/>
                  </w:divBdr>
                </w:div>
                <w:div w:id="1056901595">
                  <w:marLeft w:val="0"/>
                  <w:marRight w:val="0"/>
                  <w:marTop w:val="0"/>
                  <w:marBottom w:val="0"/>
                  <w:divBdr>
                    <w:top w:val="single" w:sz="12" w:space="0" w:color="000000"/>
                    <w:left w:val="single" w:sz="12" w:space="0" w:color="000000"/>
                    <w:bottom w:val="single" w:sz="12" w:space="0" w:color="000000"/>
                    <w:right w:val="single" w:sz="12" w:space="0" w:color="000000"/>
                  </w:divBdr>
                </w:div>
                <w:div w:id="494607694">
                  <w:marLeft w:val="0"/>
                  <w:marRight w:val="0"/>
                  <w:marTop w:val="0"/>
                  <w:marBottom w:val="0"/>
                  <w:divBdr>
                    <w:top w:val="none" w:sz="0" w:space="0" w:color="auto"/>
                    <w:left w:val="none" w:sz="0" w:space="0" w:color="auto"/>
                    <w:bottom w:val="none" w:sz="0" w:space="0" w:color="auto"/>
                    <w:right w:val="none" w:sz="0" w:space="0" w:color="auto"/>
                  </w:divBdr>
                </w:div>
              </w:divsChild>
            </w:div>
            <w:div w:id="1530992548">
              <w:marLeft w:val="0"/>
              <w:marRight w:val="0"/>
              <w:marTop w:val="0"/>
              <w:marBottom w:val="0"/>
              <w:divBdr>
                <w:top w:val="none" w:sz="0" w:space="0" w:color="auto"/>
                <w:left w:val="none" w:sz="0" w:space="0" w:color="auto"/>
                <w:bottom w:val="none" w:sz="0" w:space="0" w:color="auto"/>
                <w:right w:val="none" w:sz="0" w:space="0" w:color="auto"/>
              </w:divBdr>
            </w:div>
            <w:div w:id="1827700067">
              <w:marLeft w:val="0"/>
              <w:marRight w:val="0"/>
              <w:marTop w:val="0"/>
              <w:marBottom w:val="0"/>
              <w:divBdr>
                <w:top w:val="none" w:sz="0" w:space="0" w:color="auto"/>
                <w:left w:val="none" w:sz="0" w:space="0" w:color="auto"/>
                <w:bottom w:val="none" w:sz="0" w:space="0" w:color="auto"/>
                <w:right w:val="none" w:sz="0" w:space="0" w:color="auto"/>
              </w:divBdr>
            </w:div>
            <w:div w:id="1865483527">
              <w:marLeft w:val="0"/>
              <w:marRight w:val="0"/>
              <w:marTop w:val="0"/>
              <w:marBottom w:val="0"/>
              <w:divBdr>
                <w:top w:val="none" w:sz="0" w:space="0" w:color="auto"/>
                <w:left w:val="none" w:sz="0" w:space="0" w:color="auto"/>
                <w:bottom w:val="none" w:sz="0" w:space="0" w:color="auto"/>
                <w:right w:val="none" w:sz="0" w:space="0" w:color="auto"/>
              </w:divBdr>
            </w:div>
            <w:div w:id="492451544">
              <w:marLeft w:val="0"/>
              <w:marRight w:val="0"/>
              <w:marTop w:val="0"/>
              <w:marBottom w:val="0"/>
              <w:divBdr>
                <w:top w:val="none" w:sz="0" w:space="0" w:color="auto"/>
                <w:left w:val="none" w:sz="0" w:space="0" w:color="auto"/>
                <w:bottom w:val="none" w:sz="0" w:space="0" w:color="auto"/>
                <w:right w:val="none" w:sz="0" w:space="0" w:color="auto"/>
              </w:divBdr>
              <w:divsChild>
                <w:div w:id="1637250085">
                  <w:marLeft w:val="0"/>
                  <w:marRight w:val="0"/>
                  <w:marTop w:val="330"/>
                  <w:marBottom w:val="0"/>
                  <w:divBdr>
                    <w:top w:val="single" w:sz="6" w:space="0" w:color="000000"/>
                    <w:left w:val="none" w:sz="0" w:space="0" w:color="auto"/>
                    <w:bottom w:val="none" w:sz="0" w:space="0" w:color="auto"/>
                    <w:right w:val="none" w:sz="0" w:space="0" w:color="auto"/>
                  </w:divBdr>
                </w:div>
                <w:div w:id="1547991055">
                  <w:marLeft w:val="0"/>
                  <w:marRight w:val="0"/>
                  <w:marTop w:val="330"/>
                  <w:marBottom w:val="0"/>
                  <w:divBdr>
                    <w:top w:val="single" w:sz="6" w:space="0" w:color="000000"/>
                    <w:left w:val="none" w:sz="0" w:space="0" w:color="auto"/>
                    <w:bottom w:val="none" w:sz="0" w:space="0" w:color="auto"/>
                    <w:right w:val="none" w:sz="0" w:space="0" w:color="auto"/>
                  </w:divBdr>
                </w:div>
                <w:div w:id="57487011">
                  <w:marLeft w:val="0"/>
                  <w:marRight w:val="0"/>
                  <w:marTop w:val="330"/>
                  <w:marBottom w:val="0"/>
                  <w:divBdr>
                    <w:top w:val="single" w:sz="6" w:space="0" w:color="000000"/>
                    <w:left w:val="none" w:sz="0" w:space="0" w:color="auto"/>
                    <w:bottom w:val="none" w:sz="0" w:space="0" w:color="auto"/>
                    <w:right w:val="none" w:sz="0" w:space="0" w:color="auto"/>
                  </w:divBdr>
                </w:div>
                <w:div w:id="1203324594">
                  <w:marLeft w:val="0"/>
                  <w:marRight w:val="0"/>
                  <w:marTop w:val="330"/>
                  <w:marBottom w:val="0"/>
                  <w:divBdr>
                    <w:top w:val="single" w:sz="6" w:space="0" w:color="000000"/>
                    <w:left w:val="none" w:sz="0" w:space="0" w:color="auto"/>
                    <w:bottom w:val="none" w:sz="0" w:space="0" w:color="auto"/>
                    <w:right w:val="none" w:sz="0" w:space="0" w:color="auto"/>
                  </w:divBdr>
                </w:div>
                <w:div w:id="1693873982">
                  <w:marLeft w:val="0"/>
                  <w:marRight w:val="0"/>
                  <w:marTop w:val="0"/>
                  <w:marBottom w:val="0"/>
                  <w:divBdr>
                    <w:top w:val="none" w:sz="0" w:space="0" w:color="auto"/>
                    <w:left w:val="none" w:sz="0" w:space="0" w:color="auto"/>
                    <w:bottom w:val="none" w:sz="0" w:space="0" w:color="auto"/>
                    <w:right w:val="none" w:sz="0" w:space="0" w:color="auto"/>
                  </w:divBdr>
                  <w:divsChild>
                    <w:div w:id="1110510792">
                      <w:marLeft w:val="0"/>
                      <w:marRight w:val="0"/>
                      <w:marTop w:val="0"/>
                      <w:marBottom w:val="0"/>
                      <w:divBdr>
                        <w:top w:val="single" w:sz="12" w:space="0" w:color="000000"/>
                        <w:left w:val="single" w:sz="12" w:space="0" w:color="000000"/>
                        <w:bottom w:val="single" w:sz="12" w:space="0" w:color="000000"/>
                        <w:right w:val="single" w:sz="12" w:space="0" w:color="000000"/>
                      </w:divBdr>
                    </w:div>
                    <w:div w:id="1343506199">
                      <w:marLeft w:val="0"/>
                      <w:marRight w:val="0"/>
                      <w:marTop w:val="0"/>
                      <w:marBottom w:val="0"/>
                      <w:divBdr>
                        <w:top w:val="none" w:sz="0" w:space="0" w:color="auto"/>
                        <w:left w:val="none" w:sz="0" w:space="0" w:color="auto"/>
                        <w:bottom w:val="none" w:sz="0" w:space="0" w:color="auto"/>
                        <w:right w:val="none" w:sz="0" w:space="0" w:color="auto"/>
                      </w:divBdr>
                    </w:div>
                  </w:divsChild>
                </w:div>
                <w:div w:id="1004819317">
                  <w:marLeft w:val="0"/>
                  <w:marRight w:val="0"/>
                  <w:marTop w:val="330"/>
                  <w:marBottom w:val="0"/>
                  <w:divBdr>
                    <w:top w:val="single" w:sz="6" w:space="0" w:color="000000"/>
                    <w:left w:val="none" w:sz="0" w:space="0" w:color="auto"/>
                    <w:bottom w:val="none" w:sz="0" w:space="0" w:color="auto"/>
                    <w:right w:val="none" w:sz="0" w:space="0" w:color="auto"/>
                  </w:divBdr>
                </w:div>
                <w:div w:id="1558013557">
                  <w:marLeft w:val="0"/>
                  <w:marRight w:val="0"/>
                  <w:marTop w:val="330"/>
                  <w:marBottom w:val="0"/>
                  <w:divBdr>
                    <w:top w:val="single" w:sz="6" w:space="0" w:color="000000"/>
                    <w:left w:val="none" w:sz="0" w:space="0" w:color="auto"/>
                    <w:bottom w:val="none" w:sz="0" w:space="0" w:color="auto"/>
                    <w:right w:val="none" w:sz="0" w:space="0" w:color="auto"/>
                  </w:divBdr>
                </w:div>
                <w:div w:id="1196850107">
                  <w:marLeft w:val="0"/>
                  <w:marRight w:val="0"/>
                  <w:marTop w:val="330"/>
                  <w:marBottom w:val="0"/>
                  <w:divBdr>
                    <w:top w:val="single" w:sz="6" w:space="0" w:color="000000"/>
                    <w:left w:val="none" w:sz="0" w:space="0" w:color="auto"/>
                    <w:bottom w:val="none" w:sz="0" w:space="0" w:color="auto"/>
                    <w:right w:val="none" w:sz="0" w:space="0" w:color="auto"/>
                  </w:divBdr>
                </w:div>
                <w:div w:id="1707870102">
                  <w:marLeft w:val="0"/>
                  <w:marRight w:val="0"/>
                  <w:marTop w:val="330"/>
                  <w:marBottom w:val="0"/>
                  <w:divBdr>
                    <w:top w:val="single" w:sz="6" w:space="0" w:color="000000"/>
                    <w:left w:val="none" w:sz="0" w:space="0" w:color="auto"/>
                    <w:bottom w:val="none" w:sz="0" w:space="0" w:color="auto"/>
                    <w:right w:val="none" w:sz="0" w:space="0" w:color="auto"/>
                  </w:divBdr>
                </w:div>
              </w:divsChild>
            </w:div>
            <w:div w:id="640307461">
              <w:marLeft w:val="0"/>
              <w:marRight w:val="0"/>
              <w:marTop w:val="0"/>
              <w:marBottom w:val="0"/>
              <w:divBdr>
                <w:top w:val="none" w:sz="0" w:space="0" w:color="auto"/>
                <w:left w:val="none" w:sz="0" w:space="0" w:color="auto"/>
                <w:bottom w:val="none" w:sz="0" w:space="0" w:color="auto"/>
                <w:right w:val="none" w:sz="0" w:space="0" w:color="auto"/>
              </w:divBdr>
            </w:div>
            <w:div w:id="1166899569">
              <w:marLeft w:val="0"/>
              <w:marRight w:val="0"/>
              <w:marTop w:val="0"/>
              <w:marBottom w:val="0"/>
              <w:divBdr>
                <w:top w:val="none" w:sz="0" w:space="0" w:color="auto"/>
                <w:left w:val="none" w:sz="0" w:space="0" w:color="auto"/>
                <w:bottom w:val="none" w:sz="0" w:space="0" w:color="auto"/>
                <w:right w:val="none" w:sz="0" w:space="0" w:color="auto"/>
              </w:divBdr>
            </w:div>
            <w:div w:id="156041236">
              <w:marLeft w:val="0"/>
              <w:marRight w:val="0"/>
              <w:marTop w:val="0"/>
              <w:marBottom w:val="0"/>
              <w:divBdr>
                <w:top w:val="none" w:sz="0" w:space="0" w:color="auto"/>
                <w:left w:val="none" w:sz="0" w:space="0" w:color="auto"/>
                <w:bottom w:val="none" w:sz="0" w:space="0" w:color="auto"/>
                <w:right w:val="none" w:sz="0" w:space="0" w:color="auto"/>
              </w:divBdr>
            </w:div>
            <w:div w:id="391198549">
              <w:marLeft w:val="0"/>
              <w:marRight w:val="0"/>
              <w:marTop w:val="0"/>
              <w:marBottom w:val="0"/>
              <w:divBdr>
                <w:top w:val="none" w:sz="0" w:space="0" w:color="auto"/>
                <w:left w:val="none" w:sz="0" w:space="0" w:color="auto"/>
                <w:bottom w:val="none" w:sz="0" w:space="0" w:color="auto"/>
                <w:right w:val="none" w:sz="0" w:space="0" w:color="auto"/>
              </w:divBdr>
            </w:div>
            <w:div w:id="1043209097">
              <w:marLeft w:val="0"/>
              <w:marRight w:val="0"/>
              <w:marTop w:val="0"/>
              <w:marBottom w:val="0"/>
              <w:divBdr>
                <w:top w:val="none" w:sz="0" w:space="0" w:color="auto"/>
                <w:left w:val="none" w:sz="0" w:space="0" w:color="auto"/>
                <w:bottom w:val="none" w:sz="0" w:space="0" w:color="auto"/>
                <w:right w:val="none" w:sz="0" w:space="0" w:color="auto"/>
              </w:divBdr>
            </w:div>
            <w:div w:id="1564608977">
              <w:marLeft w:val="0"/>
              <w:marRight w:val="0"/>
              <w:marTop w:val="0"/>
              <w:marBottom w:val="0"/>
              <w:divBdr>
                <w:top w:val="none" w:sz="0" w:space="0" w:color="auto"/>
                <w:left w:val="none" w:sz="0" w:space="0" w:color="auto"/>
                <w:bottom w:val="none" w:sz="0" w:space="0" w:color="auto"/>
                <w:right w:val="none" w:sz="0" w:space="0" w:color="auto"/>
              </w:divBdr>
            </w:div>
            <w:div w:id="383061470">
              <w:marLeft w:val="0"/>
              <w:marRight w:val="0"/>
              <w:marTop w:val="0"/>
              <w:marBottom w:val="0"/>
              <w:divBdr>
                <w:top w:val="none" w:sz="0" w:space="0" w:color="auto"/>
                <w:left w:val="none" w:sz="0" w:space="0" w:color="auto"/>
                <w:bottom w:val="none" w:sz="0" w:space="0" w:color="auto"/>
                <w:right w:val="none" w:sz="0" w:space="0" w:color="auto"/>
              </w:divBdr>
            </w:div>
            <w:div w:id="336999004">
              <w:marLeft w:val="0"/>
              <w:marRight w:val="0"/>
              <w:marTop w:val="0"/>
              <w:marBottom w:val="0"/>
              <w:divBdr>
                <w:top w:val="none" w:sz="0" w:space="0" w:color="auto"/>
                <w:left w:val="none" w:sz="0" w:space="0" w:color="auto"/>
                <w:bottom w:val="none" w:sz="0" w:space="0" w:color="auto"/>
                <w:right w:val="none" w:sz="0" w:space="0" w:color="auto"/>
              </w:divBdr>
            </w:div>
            <w:div w:id="361323525">
              <w:marLeft w:val="0"/>
              <w:marRight w:val="0"/>
              <w:marTop w:val="0"/>
              <w:marBottom w:val="0"/>
              <w:divBdr>
                <w:top w:val="none" w:sz="0" w:space="0" w:color="auto"/>
                <w:left w:val="none" w:sz="0" w:space="0" w:color="auto"/>
                <w:bottom w:val="none" w:sz="0" w:space="0" w:color="auto"/>
                <w:right w:val="none" w:sz="0" w:space="0" w:color="auto"/>
              </w:divBdr>
            </w:div>
            <w:div w:id="1991212122">
              <w:marLeft w:val="0"/>
              <w:marRight w:val="0"/>
              <w:marTop w:val="0"/>
              <w:marBottom w:val="0"/>
              <w:divBdr>
                <w:top w:val="none" w:sz="0" w:space="0" w:color="auto"/>
                <w:left w:val="none" w:sz="0" w:space="0" w:color="auto"/>
                <w:bottom w:val="none" w:sz="0" w:space="0" w:color="auto"/>
                <w:right w:val="none" w:sz="0" w:space="0" w:color="auto"/>
              </w:divBdr>
              <w:divsChild>
                <w:div w:id="1301299489">
                  <w:marLeft w:val="0"/>
                  <w:marRight w:val="0"/>
                  <w:marTop w:val="0"/>
                  <w:marBottom w:val="0"/>
                  <w:divBdr>
                    <w:top w:val="none" w:sz="0" w:space="0" w:color="auto"/>
                    <w:left w:val="none" w:sz="0" w:space="0" w:color="auto"/>
                    <w:bottom w:val="none" w:sz="0" w:space="0" w:color="auto"/>
                    <w:right w:val="none" w:sz="0" w:space="0" w:color="auto"/>
                  </w:divBdr>
                </w:div>
                <w:div w:id="311058898">
                  <w:marLeft w:val="0"/>
                  <w:marRight w:val="0"/>
                  <w:marTop w:val="0"/>
                  <w:marBottom w:val="0"/>
                  <w:divBdr>
                    <w:top w:val="single" w:sz="12" w:space="0" w:color="000000"/>
                    <w:left w:val="single" w:sz="12" w:space="0" w:color="000000"/>
                    <w:bottom w:val="single" w:sz="12" w:space="0" w:color="000000"/>
                    <w:right w:val="single" w:sz="12" w:space="0" w:color="000000"/>
                  </w:divBdr>
                </w:div>
                <w:div w:id="1340279368">
                  <w:marLeft w:val="0"/>
                  <w:marRight w:val="0"/>
                  <w:marTop w:val="0"/>
                  <w:marBottom w:val="0"/>
                  <w:divBdr>
                    <w:top w:val="none" w:sz="0" w:space="0" w:color="auto"/>
                    <w:left w:val="none" w:sz="0" w:space="0" w:color="auto"/>
                    <w:bottom w:val="none" w:sz="0" w:space="0" w:color="auto"/>
                    <w:right w:val="none" w:sz="0" w:space="0" w:color="auto"/>
                  </w:divBdr>
                </w:div>
              </w:divsChild>
            </w:div>
            <w:div w:id="764492947">
              <w:marLeft w:val="0"/>
              <w:marRight w:val="0"/>
              <w:marTop w:val="0"/>
              <w:marBottom w:val="0"/>
              <w:divBdr>
                <w:top w:val="none" w:sz="0" w:space="0" w:color="auto"/>
                <w:left w:val="none" w:sz="0" w:space="0" w:color="auto"/>
                <w:bottom w:val="none" w:sz="0" w:space="0" w:color="auto"/>
                <w:right w:val="none" w:sz="0" w:space="0" w:color="auto"/>
              </w:divBdr>
            </w:div>
            <w:div w:id="2070493951">
              <w:marLeft w:val="0"/>
              <w:marRight w:val="0"/>
              <w:marTop w:val="0"/>
              <w:marBottom w:val="0"/>
              <w:divBdr>
                <w:top w:val="none" w:sz="0" w:space="0" w:color="auto"/>
                <w:left w:val="none" w:sz="0" w:space="0" w:color="auto"/>
                <w:bottom w:val="none" w:sz="0" w:space="0" w:color="auto"/>
                <w:right w:val="none" w:sz="0" w:space="0" w:color="auto"/>
              </w:divBdr>
            </w:div>
            <w:div w:id="1502432349">
              <w:marLeft w:val="0"/>
              <w:marRight w:val="0"/>
              <w:marTop w:val="0"/>
              <w:marBottom w:val="0"/>
              <w:divBdr>
                <w:top w:val="none" w:sz="0" w:space="0" w:color="auto"/>
                <w:left w:val="none" w:sz="0" w:space="0" w:color="auto"/>
                <w:bottom w:val="none" w:sz="0" w:space="0" w:color="auto"/>
                <w:right w:val="none" w:sz="0" w:space="0" w:color="auto"/>
              </w:divBdr>
            </w:div>
            <w:div w:id="755906162">
              <w:marLeft w:val="0"/>
              <w:marRight w:val="0"/>
              <w:marTop w:val="0"/>
              <w:marBottom w:val="0"/>
              <w:divBdr>
                <w:top w:val="none" w:sz="0" w:space="0" w:color="auto"/>
                <w:left w:val="none" w:sz="0" w:space="0" w:color="auto"/>
                <w:bottom w:val="none" w:sz="0" w:space="0" w:color="auto"/>
                <w:right w:val="none" w:sz="0" w:space="0" w:color="auto"/>
              </w:divBdr>
            </w:div>
            <w:div w:id="1296983682">
              <w:marLeft w:val="0"/>
              <w:marRight w:val="0"/>
              <w:marTop w:val="0"/>
              <w:marBottom w:val="0"/>
              <w:divBdr>
                <w:top w:val="none" w:sz="0" w:space="0" w:color="auto"/>
                <w:left w:val="none" w:sz="0" w:space="0" w:color="auto"/>
                <w:bottom w:val="none" w:sz="0" w:space="0" w:color="auto"/>
                <w:right w:val="none" w:sz="0" w:space="0" w:color="auto"/>
              </w:divBdr>
            </w:div>
            <w:div w:id="897128129">
              <w:marLeft w:val="0"/>
              <w:marRight w:val="0"/>
              <w:marTop w:val="0"/>
              <w:marBottom w:val="0"/>
              <w:divBdr>
                <w:top w:val="none" w:sz="0" w:space="0" w:color="auto"/>
                <w:left w:val="none" w:sz="0" w:space="0" w:color="auto"/>
                <w:bottom w:val="none" w:sz="0" w:space="0" w:color="auto"/>
                <w:right w:val="none" w:sz="0" w:space="0" w:color="auto"/>
              </w:divBdr>
            </w:div>
            <w:div w:id="194849624">
              <w:marLeft w:val="0"/>
              <w:marRight w:val="0"/>
              <w:marTop w:val="0"/>
              <w:marBottom w:val="0"/>
              <w:divBdr>
                <w:top w:val="none" w:sz="0" w:space="0" w:color="auto"/>
                <w:left w:val="none" w:sz="0" w:space="0" w:color="auto"/>
                <w:bottom w:val="none" w:sz="0" w:space="0" w:color="auto"/>
                <w:right w:val="none" w:sz="0" w:space="0" w:color="auto"/>
              </w:divBdr>
            </w:div>
            <w:div w:id="1639070301">
              <w:marLeft w:val="0"/>
              <w:marRight w:val="0"/>
              <w:marTop w:val="0"/>
              <w:marBottom w:val="0"/>
              <w:divBdr>
                <w:top w:val="none" w:sz="0" w:space="0" w:color="auto"/>
                <w:left w:val="none" w:sz="0" w:space="0" w:color="auto"/>
                <w:bottom w:val="none" w:sz="0" w:space="0" w:color="auto"/>
                <w:right w:val="none" w:sz="0" w:space="0" w:color="auto"/>
              </w:divBdr>
            </w:div>
            <w:div w:id="673727602">
              <w:marLeft w:val="0"/>
              <w:marRight w:val="0"/>
              <w:marTop w:val="0"/>
              <w:marBottom w:val="0"/>
              <w:divBdr>
                <w:top w:val="none" w:sz="0" w:space="0" w:color="auto"/>
                <w:left w:val="none" w:sz="0" w:space="0" w:color="auto"/>
                <w:bottom w:val="none" w:sz="0" w:space="0" w:color="auto"/>
                <w:right w:val="none" w:sz="0" w:space="0" w:color="auto"/>
              </w:divBdr>
            </w:div>
            <w:div w:id="329598036">
              <w:marLeft w:val="0"/>
              <w:marRight w:val="0"/>
              <w:marTop w:val="0"/>
              <w:marBottom w:val="0"/>
              <w:divBdr>
                <w:top w:val="none" w:sz="0" w:space="0" w:color="auto"/>
                <w:left w:val="none" w:sz="0" w:space="0" w:color="auto"/>
                <w:bottom w:val="none" w:sz="0" w:space="0" w:color="auto"/>
                <w:right w:val="none" w:sz="0" w:space="0" w:color="auto"/>
              </w:divBdr>
              <w:divsChild>
                <w:div w:id="1813599188">
                  <w:marLeft w:val="0"/>
                  <w:marRight w:val="0"/>
                  <w:marTop w:val="0"/>
                  <w:marBottom w:val="0"/>
                  <w:divBdr>
                    <w:top w:val="single" w:sz="12" w:space="0" w:color="000000"/>
                    <w:left w:val="single" w:sz="12" w:space="0" w:color="000000"/>
                    <w:bottom w:val="single" w:sz="12" w:space="0" w:color="000000"/>
                    <w:right w:val="single" w:sz="12" w:space="0" w:color="000000"/>
                  </w:divBdr>
                </w:div>
                <w:div w:id="210391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SID=5281b55ba7ac0685150352674dcabd2a&amp;node=40:7.0.1.1.1.1&amp;rgn=div6" TargetMode="External"/><Relationship Id="rId18" Type="http://schemas.openxmlformats.org/officeDocument/2006/relationships/hyperlink" Target="http://www.ecfr.gov/cgi-bin/text-idx?SID=5281b55ba7ac0685150352674dcabd2a&amp;node=40:7.0.1.1.1.1&amp;rgn=div6" TargetMode="External"/><Relationship Id="rId26" Type="http://schemas.openxmlformats.org/officeDocument/2006/relationships/hyperlink" Target="http://www.ecfr.gov/cgi-bin/text-idx?SID=5281b55ba7ac0685150352674dcabd2a&amp;node=40:7.0.1.1.1.1&amp;rgn=div6" TargetMode="External"/><Relationship Id="rId39" Type="http://schemas.openxmlformats.org/officeDocument/2006/relationships/hyperlink" Target="http://www.ecfr.gov/cgi-bin/text-idx?SID=5281b55ba7ac0685150352674dcabd2a&amp;node=40:7.0.1.1.1.1&amp;rgn=div6" TargetMode="External"/><Relationship Id="rId21" Type="http://schemas.openxmlformats.org/officeDocument/2006/relationships/hyperlink" Target="http://www.ecfr.gov/cgi-bin/text-idx?SID=5281b55ba7ac0685150352674dcabd2a&amp;node=40:7.0.1.1.1.1&amp;rgn=div6" TargetMode="External"/><Relationship Id="rId34" Type="http://schemas.openxmlformats.org/officeDocument/2006/relationships/hyperlink" Target="http://www.ecfr.gov/cgi-bin/text-idx?SID=5281b55ba7ac0685150352674dcabd2a&amp;node=40:7.0.1.1.1.1&amp;rgn=div6" TargetMode="External"/><Relationship Id="rId42" Type="http://schemas.openxmlformats.org/officeDocument/2006/relationships/hyperlink" Target="http://www.ecfr.gov/cgi-bin/text-idx?SID=5281b55ba7ac0685150352674dcabd2a&amp;node=40:7.0.1.1.1.1&amp;rgn=div6" TargetMode="External"/><Relationship Id="rId47" Type="http://schemas.openxmlformats.org/officeDocument/2006/relationships/image" Target="media/image2.gif"/><Relationship Id="rId50" Type="http://schemas.openxmlformats.org/officeDocument/2006/relationships/hyperlink" Target="http://www.ecfr.gov/graphics/pdfs/ec01jn92.009.pdf" TargetMode="External"/><Relationship Id="rId55" Type="http://schemas.openxmlformats.org/officeDocument/2006/relationships/hyperlink" Target="http://www.ecfr.gov/cgi-bin/text-idx?SID=5281b55ba7ac0685150352674dcabd2a&amp;node=40:7.0.1.1.1.1&amp;rgn=div6" TargetMode="External"/><Relationship Id="rId7" Type="http://schemas.openxmlformats.org/officeDocument/2006/relationships/hyperlink" Target="http://www.ecfr.gov/cgi-bin/text-idx?SID=5281b55ba7ac0685150352674dcabd2a&amp;node=40:7.0.1.1.1.1&amp;rgn=div6" TargetMode="External"/><Relationship Id="rId12" Type="http://schemas.openxmlformats.org/officeDocument/2006/relationships/hyperlink" Target="http://www.ecfr.gov/cgi-bin/text-idx?SID=5281b55ba7ac0685150352674dcabd2a&amp;node=40:7.0.1.1.1.1&amp;rgn=div6" TargetMode="External"/><Relationship Id="rId17" Type="http://schemas.openxmlformats.org/officeDocument/2006/relationships/hyperlink" Target="http://www.ecfr.gov/cgi-bin/text-idx?SID=5281b55ba7ac0685150352674dcabd2a&amp;node=40:7.0.1.1.1.1&amp;rgn=div6" TargetMode="External"/><Relationship Id="rId25" Type="http://schemas.openxmlformats.org/officeDocument/2006/relationships/hyperlink" Target="http://www.ecfr.gov/cgi-bin/text-idx?SID=5281b55ba7ac0685150352674dcabd2a&amp;node=40:7.0.1.1.1.1&amp;rgn=div6" TargetMode="External"/><Relationship Id="rId33" Type="http://schemas.openxmlformats.org/officeDocument/2006/relationships/hyperlink" Target="http://www.ecfr.gov/cgi-bin/text-idx?SID=5281b55ba7ac0685150352674dcabd2a&amp;node=40:7.0.1.1.1.1&amp;rgn=div6" TargetMode="External"/><Relationship Id="rId38" Type="http://schemas.openxmlformats.org/officeDocument/2006/relationships/hyperlink" Target="http://www.ecfr.gov/cgi-bin/text-idx?SID=5281b55ba7ac0685150352674dcabd2a&amp;node=40:7.0.1.1.1.1&amp;rgn=div6" TargetMode="External"/><Relationship Id="rId46" Type="http://schemas.openxmlformats.org/officeDocument/2006/relationships/hyperlink" Target="http://www.ecfr.gov/cgi-bin/text-idx?SID=5281b55ba7ac0685150352674dcabd2a&amp;node=40:7.0.1.1.1.1&amp;rgn=div6" TargetMode="External"/><Relationship Id="rId2" Type="http://schemas.openxmlformats.org/officeDocument/2006/relationships/settings" Target="settings.xml"/><Relationship Id="rId16" Type="http://schemas.openxmlformats.org/officeDocument/2006/relationships/hyperlink" Target="http://www.ecfr.gov/cgi-bin/text-idx?SID=5281b55ba7ac0685150352674dcabd2a&amp;node=40:7.0.1.1.1.1&amp;rgn=div6" TargetMode="External"/><Relationship Id="rId20" Type="http://schemas.openxmlformats.org/officeDocument/2006/relationships/hyperlink" Target="http://www.ecfr.gov/cgi-bin/text-idx?SID=5281b55ba7ac0685150352674dcabd2a&amp;node=40:7.0.1.1.1.1&amp;rgn=div6" TargetMode="External"/><Relationship Id="rId29" Type="http://schemas.openxmlformats.org/officeDocument/2006/relationships/image" Target="media/image1.gif"/><Relationship Id="rId41" Type="http://schemas.openxmlformats.org/officeDocument/2006/relationships/hyperlink" Target="http://www.ecfr.gov/cgi-bin/text-idx?SID=5281b55ba7ac0685150352674dcabd2a&amp;node=40:7.0.1.1.1.1&amp;rgn=div6" TargetMode="External"/><Relationship Id="rId54" Type="http://schemas.openxmlformats.org/officeDocument/2006/relationships/hyperlink" Target="http://www.ecfr.gov/cgi-bin/text-idx?SID=5281b55ba7ac0685150352674dcabd2a&amp;node=40:7.0.1.1.1.1&amp;rgn=div6" TargetMode="External"/><Relationship Id="rId1" Type="http://schemas.openxmlformats.org/officeDocument/2006/relationships/styles" Target="styles.xml"/><Relationship Id="rId6" Type="http://schemas.openxmlformats.org/officeDocument/2006/relationships/hyperlink" Target="http://www.ecfr.gov/cgi-bin/retrieveECFR?gp=&amp;SID=5281b55ba7ac0685150352674dcabd2a&amp;n=40y7.0.1.1.1&amp;r=PART&amp;ty=HTML" TargetMode="External"/><Relationship Id="rId11" Type="http://schemas.openxmlformats.org/officeDocument/2006/relationships/hyperlink" Target="http://www.ecfr.gov/cgi-bin/text-idx?SID=5281b55ba7ac0685150352674dcabd2a&amp;node=40:7.0.1.1.1.1&amp;rgn=div6" TargetMode="External"/><Relationship Id="rId24" Type="http://schemas.openxmlformats.org/officeDocument/2006/relationships/hyperlink" Target="http://www.ecfr.gov/cgi-bin/text-idx?SID=5281b55ba7ac0685150352674dcabd2a&amp;node=40:7.0.1.1.1.1&amp;rgn=div6" TargetMode="External"/><Relationship Id="rId32" Type="http://schemas.openxmlformats.org/officeDocument/2006/relationships/hyperlink" Target="http://www.ecfr.gov/cgi-bin/text-idx?SID=5281b55ba7ac0685150352674dcabd2a&amp;node=40:7.0.1.1.1.1&amp;rgn=div6" TargetMode="External"/><Relationship Id="rId37" Type="http://schemas.openxmlformats.org/officeDocument/2006/relationships/hyperlink" Target="http://www.ecfr.gov/cgi-bin/text-idx?SID=5281b55ba7ac0685150352674dcabd2a&amp;node=40:7.0.1.1.1.1&amp;rgn=div6" TargetMode="External"/><Relationship Id="rId40" Type="http://schemas.openxmlformats.org/officeDocument/2006/relationships/hyperlink" Target="http://www.ecfr.gov/cgi-bin/text-idx?SID=5281b55ba7ac0685150352674dcabd2a&amp;node=40:7.0.1.1.1.1&amp;rgn=div6" TargetMode="External"/><Relationship Id="rId45" Type="http://schemas.openxmlformats.org/officeDocument/2006/relationships/hyperlink" Target="http://www.ecfr.gov/cgi-bin/text-idx?SID=5281b55ba7ac0685150352674dcabd2a&amp;node=40:7.0.1.1.1.1&amp;rgn=div6" TargetMode="External"/><Relationship Id="rId53" Type="http://schemas.openxmlformats.org/officeDocument/2006/relationships/hyperlink" Target="http://www.ecfr.gov/cgi-bin/text-idx?SID=5281b55ba7ac0685150352674dcabd2a&amp;node=40:7.0.1.1.1.1&amp;rgn=div6" TargetMode="External"/><Relationship Id="rId58"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ecfr.gov/cgi-bin/text-idx?SID=5281b55ba7ac0685150352674dcabd2a&amp;node=40:7.0.1.1.1.1&amp;rgn=div6" TargetMode="External"/><Relationship Id="rId23" Type="http://schemas.openxmlformats.org/officeDocument/2006/relationships/hyperlink" Target="http://www.ecfr.gov/cgi-bin/text-idx?SID=5281b55ba7ac0685150352674dcabd2a&amp;node=40:7.0.1.1.1.1&amp;rgn=div6" TargetMode="External"/><Relationship Id="rId28" Type="http://schemas.openxmlformats.org/officeDocument/2006/relationships/hyperlink" Target="http://www.ecfr.gov/cgi-bin/text-idx?SID=5281b55ba7ac0685150352674dcabd2a&amp;node=40:7.0.1.1.1.1&amp;rgn=div6#_top" TargetMode="External"/><Relationship Id="rId36" Type="http://schemas.openxmlformats.org/officeDocument/2006/relationships/hyperlink" Target="http://www.ecfr.gov/cgi-bin/text-idx?SID=5281b55ba7ac0685150352674dcabd2a&amp;node=40:7.0.1.1.1.1&amp;rgn=div6" TargetMode="External"/><Relationship Id="rId49" Type="http://schemas.openxmlformats.org/officeDocument/2006/relationships/image" Target="media/image3.gif"/><Relationship Id="rId57" Type="http://schemas.openxmlformats.org/officeDocument/2006/relationships/fontTable" Target="fontTable.xml"/><Relationship Id="rId10" Type="http://schemas.openxmlformats.org/officeDocument/2006/relationships/hyperlink" Target="http://www.ecfr.gov/cgi-bin/text-idx?SID=5281b55ba7ac0685150352674dcabd2a&amp;node=40:7.0.1.1.1.1&amp;rgn=div6" TargetMode="External"/><Relationship Id="rId19" Type="http://schemas.openxmlformats.org/officeDocument/2006/relationships/hyperlink" Target="http://www.ecfr.gov/cgi-bin/text-idx?SID=5281b55ba7ac0685150352674dcabd2a&amp;node=40:7.0.1.1.1.1&amp;rgn=div6" TargetMode="External"/><Relationship Id="rId31" Type="http://schemas.openxmlformats.org/officeDocument/2006/relationships/hyperlink" Target="http://www.ecfr.gov/cgi-bin/text-idx?SID=5281b55ba7ac0685150352674dcabd2a&amp;node=40:7.0.1.1.1.1&amp;rgn=div6" TargetMode="External"/><Relationship Id="rId44" Type="http://schemas.openxmlformats.org/officeDocument/2006/relationships/hyperlink" Target="http://www.ecfr.gov/cgi-bin/text-idx?SID=5281b55ba7ac0685150352674dcabd2a&amp;node=40:7.0.1.1.1.1&amp;rgn=div6" TargetMode="External"/><Relationship Id="rId52" Type="http://schemas.openxmlformats.org/officeDocument/2006/relationships/hyperlink" Target="http://www.ecfr.gov/graphics/pdfs/er22de08.007.pdf" TargetMode="External"/><Relationship Id="rId4" Type="http://schemas.openxmlformats.org/officeDocument/2006/relationships/footnotes" Target="footnotes.xml"/><Relationship Id="rId9" Type="http://schemas.openxmlformats.org/officeDocument/2006/relationships/hyperlink" Target="http://www.ecfr.gov/cgi-bin/text-idx?SID=5281b55ba7ac0685150352674dcabd2a&amp;node=40:7.0.1.1.1.1&amp;rgn=div6" TargetMode="External"/><Relationship Id="rId14" Type="http://schemas.openxmlformats.org/officeDocument/2006/relationships/hyperlink" Target="http://www.ecfr.gov/cgi-bin/text-idx?SID=5281b55ba7ac0685150352674dcabd2a&amp;node=40:7.0.1.1.1.1&amp;rgn=div6" TargetMode="External"/><Relationship Id="rId22" Type="http://schemas.openxmlformats.org/officeDocument/2006/relationships/hyperlink" Target="http://www.ecfr.gov/cgi-bin/text-idx?SID=5281b55ba7ac0685150352674dcabd2a&amp;node=40:7.0.1.1.1.1&amp;rgn=div6" TargetMode="External"/><Relationship Id="rId27" Type="http://schemas.openxmlformats.org/officeDocument/2006/relationships/hyperlink" Target="http://www.ecfr.gov/cgi-bin/text-idx?SID=5281b55ba7ac0685150352674dcabd2a&amp;node=40:7.0.1.1.1.1&amp;rgn=div6" TargetMode="External"/><Relationship Id="rId30" Type="http://schemas.openxmlformats.org/officeDocument/2006/relationships/hyperlink" Target="http://www.ecfr.gov/cgi-bin/text-idx?SID=5281b55ba7ac0685150352674dcabd2a&amp;node=40:7.0.1.1.1.1&amp;rgn=div6" TargetMode="External"/><Relationship Id="rId35" Type="http://schemas.openxmlformats.org/officeDocument/2006/relationships/hyperlink" Target="http://www.ecfr.gov/cgi-bin/text-idx?SID=5281b55ba7ac0685150352674dcabd2a&amp;node=40:7.0.1.1.1.1&amp;rgn=div6" TargetMode="External"/><Relationship Id="rId43" Type="http://schemas.openxmlformats.org/officeDocument/2006/relationships/hyperlink" Target="http://www.ecfr.gov/cgi-bin/text-idx?SID=5281b55ba7ac0685150352674dcabd2a&amp;node=40:7.0.1.1.1.1&amp;rgn=div6" TargetMode="External"/><Relationship Id="rId48" Type="http://schemas.openxmlformats.org/officeDocument/2006/relationships/hyperlink" Target="http://www.ecfr.gov/graphics/pdfs/ec01jn92.008.pdf" TargetMode="External"/><Relationship Id="rId56" Type="http://schemas.openxmlformats.org/officeDocument/2006/relationships/footer" Target="footer1.xml"/><Relationship Id="rId8" Type="http://schemas.openxmlformats.org/officeDocument/2006/relationships/hyperlink" Target="http://www.ecfr.gov/cgi-bin/text-idx?SID=5281b55ba7ac0685150352674dcabd2a&amp;node=40:7.0.1.1.1.1&amp;rgn=div6" TargetMode="External"/><Relationship Id="rId51" Type="http://schemas.openxmlformats.org/officeDocument/2006/relationships/image" Target="media/image4.gif"/><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120</Pages>
  <Words>42674</Words>
  <Characters>243242</Characters>
  <Application>Microsoft Office Word</Application>
  <DocSecurity>0</DocSecurity>
  <Lines>2027</Lines>
  <Paragraphs>570</Paragraphs>
  <ScaleCrop>false</ScaleCrop>
  <Company/>
  <LinksUpToDate>false</LinksUpToDate>
  <CharactersWithSpaces>285346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Maybin, Leslie</cp:lastModifiedBy>
  <cp:revision>2</cp:revision>
  <dcterms:created xsi:type="dcterms:W3CDTF">2014-03-24T12:52:00Z</dcterms:created>
  <dcterms:modified xsi:type="dcterms:W3CDTF">2014-03-24T13:02:00Z</dcterms:modified>
</cp:coreProperties>
</file>